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jc w:val="center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Ministerio de Salud Pública</w:t>
      </w:r>
    </w:p>
    <w:p>
      <w:pPr>
        <w:pStyle w:val="style0"/>
        <w:widowControl w:val="false"/>
        <w:jc w:val="center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Universidad de Ciencias Médicas de Holguín</w:t>
      </w:r>
    </w:p>
    <w:p>
      <w:pPr>
        <w:pStyle w:val="style0"/>
        <w:widowControl w:val="false"/>
        <w:jc w:val="center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Facultad de </w:t>
      </w:r>
      <w:r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 xml:space="preserve">iencias </w:t>
      </w:r>
      <w:r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édicas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Mariana </w:t>
      </w:r>
      <w:r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>rajales</w:t>
      </w:r>
      <w:r>
        <w:rPr>
          <w:b/>
          <w:bCs/>
          <w:sz w:val="24"/>
          <w:szCs w:val="24"/>
        </w:rPr>
        <w:t xml:space="preserve"> Cu</w:t>
      </w:r>
      <w:r>
        <w:rPr>
          <w:b/>
          <w:bCs/>
          <w:sz w:val="24"/>
          <w:szCs w:val="24"/>
        </w:rPr>
        <w:t>ello</w:t>
      </w:r>
    </w:p>
    <w:p>
      <w:pPr>
        <w:pStyle w:val="style0"/>
        <w:widowControl w:val="false"/>
        <w:jc w:val="center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Policlínico Universitario Alcides Pino Bermúdez</w:t>
      </w:r>
    </w:p>
    <w:p>
      <w:pPr>
        <w:pStyle w:val="style0"/>
        <w:widowControl w:val="false"/>
        <w:jc w:val="center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>
      <w:pPr>
        <w:pStyle w:val="style0"/>
        <w:widowControl w:val="false"/>
        <w:contextualSpacing/>
        <w:rPr>
          <w:color w:val="ff0000"/>
          <w:sz w:val="24"/>
          <w:szCs w:val="24"/>
        </w:rPr>
      </w:pPr>
    </w:p>
    <w:p>
      <w:pPr>
        <w:pStyle w:val="style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Prevalencia de </w:t>
      </w:r>
      <w:r>
        <w:rPr>
          <w:b/>
          <w:bCs/>
          <w:sz w:val="24"/>
          <w:szCs w:val="24"/>
        </w:rPr>
        <w:t xml:space="preserve">Enfermedad Renal Crónica en personas con Diabetes Mellitus </w:t>
      </w:r>
      <w:r>
        <w:rPr>
          <w:b/>
          <w:bCs/>
          <w:sz w:val="24"/>
          <w:szCs w:val="24"/>
          <w:lang w:val="en-US"/>
        </w:rPr>
        <w:t xml:space="preserve">tipo 2 </w:t>
      </w:r>
    </w:p>
    <w:p>
      <w:pPr>
        <w:pStyle w:val="style0"/>
        <w:widowControl w:val="false"/>
        <w:contextualSpacing/>
        <w:rPr>
          <w:color w:val="ff0000"/>
          <w:sz w:val="24"/>
          <w:szCs w:val="24"/>
        </w:rPr>
      </w:pPr>
    </w:p>
    <w:p>
      <w:pPr>
        <w:pStyle w:val="style0"/>
        <w:widowControl w:val="false"/>
        <w:contextualSpacing/>
        <w:rPr>
          <w:color w:val="ff0000"/>
          <w:sz w:val="24"/>
          <w:szCs w:val="24"/>
        </w:rPr>
      </w:pPr>
    </w:p>
    <w:p>
      <w:pPr>
        <w:pStyle w:val="style0"/>
        <w:widowControl w:val="false"/>
        <w:contextualSpacing/>
        <w:rPr>
          <w:color w:val="ff0000"/>
          <w:sz w:val="24"/>
          <w:szCs w:val="24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  <w:r>
        <w:rPr>
          <w:b/>
          <w:sz w:val="24"/>
          <w:szCs w:val="24"/>
        </w:rPr>
        <w:t>Autor</w:t>
      </w:r>
      <w:r>
        <w:rPr>
          <w:b/>
          <w:sz w:val="24"/>
          <w:szCs w:val="24"/>
          <w:lang w:val="en-US"/>
        </w:rPr>
        <w:t>a:</w:t>
      </w:r>
    </w:p>
    <w:p>
      <w:pPr>
        <w:pStyle w:val="style0"/>
        <w:widowControl w:val="false"/>
        <w:contextualSpacing/>
        <w:rPr>
          <w:sz w:val="24"/>
          <w:szCs w:val="24"/>
          <w:lang w:val="en-US"/>
        </w:rPr>
      </w:pPr>
      <w:r>
        <w:rPr>
          <w:sz w:val="24"/>
          <w:szCs w:val="24"/>
        </w:rPr>
        <w:t>Dr</w:t>
      </w:r>
      <w:r>
        <w:rPr>
          <w:sz w:val="24"/>
          <w:szCs w:val="24"/>
          <w:lang w:val="en-US"/>
        </w:rPr>
        <w:t>a. Rosa María Ferrás Osorio (1)</w:t>
      </w:r>
    </w:p>
    <w:p>
      <w:pPr>
        <w:pStyle w:val="style0"/>
        <w:widowControl w:val="false"/>
        <w:contextualSpacing/>
        <w:rPr>
          <w:sz w:val="24"/>
          <w:szCs w:val="24"/>
          <w:lang w:val="en-US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(1)Residente de Segundo año en Medicina Familiar y Comunitaria. Policlínico Universitario Alcides Pino Bermúdez. Holguín. Cuba. ORCID: https://orcid.org/0000-0002-0908-0460. Correo electrónico: rmfo190400@gmail.com. </w:t>
      </w:r>
    </w:p>
    <w:p>
      <w:pPr>
        <w:pStyle w:val="style0"/>
        <w:widowControl w:val="false"/>
        <w:contextualSpacing/>
        <w:rPr>
          <w:sz w:val="24"/>
          <w:szCs w:val="24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Coautores</w:t>
      </w:r>
      <w:r>
        <w:rPr>
          <w:sz w:val="24"/>
          <w:szCs w:val="24"/>
          <w:lang w:val="en-US"/>
        </w:rPr>
        <w:t>:</w:t>
      </w:r>
    </w:p>
    <w:p>
      <w:pPr>
        <w:pStyle w:val="style0"/>
        <w:widowControl w:val="false"/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>Dr. Roilán Osorio Martínez (2)</w:t>
      </w:r>
    </w:p>
    <w:p>
      <w:pPr>
        <w:pStyle w:val="style0"/>
        <w:widowControl w:val="false"/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>Dra. Lourdes R. Cepero Benítez (3)</w:t>
      </w:r>
    </w:p>
    <w:p>
      <w:pPr>
        <w:pStyle w:val="style0"/>
        <w:widowControl w:val="false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Dra. Leydis Mulet Fuentes (4)</w:t>
      </w:r>
    </w:p>
    <w:p>
      <w:pPr>
        <w:pStyle w:val="style0"/>
        <w:widowControl w:val="false"/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>Dra. Danay Fuentes Pérez (5)</w:t>
      </w:r>
    </w:p>
    <w:p>
      <w:pPr>
        <w:pStyle w:val="style0"/>
        <w:widowControl w:val="false"/>
        <w:contextualSpacing/>
        <w:rPr>
          <w:sz w:val="24"/>
          <w:szCs w:val="24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(2) </w:t>
      </w:r>
      <w:r>
        <w:rPr>
          <w:sz w:val="24"/>
          <w:szCs w:val="24"/>
        </w:rPr>
        <w:t xml:space="preserve">Especialista </w:t>
      </w:r>
      <w:r>
        <w:rPr>
          <w:sz w:val="24"/>
          <w:szCs w:val="24"/>
        </w:rPr>
        <w:t>de Primer g</w:t>
      </w:r>
      <w:r>
        <w:rPr>
          <w:sz w:val="24"/>
          <w:szCs w:val="24"/>
        </w:rPr>
        <w:t>rado en M</w:t>
      </w:r>
      <w:r>
        <w:rPr>
          <w:sz w:val="24"/>
          <w:szCs w:val="24"/>
          <w:lang w:val="en-US"/>
        </w:rPr>
        <w:t>GI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Profesor Instructor</w:t>
      </w:r>
      <w:r>
        <w:rPr>
          <w:sz w:val="24"/>
          <w:szCs w:val="24"/>
          <w:lang w:val="en-US"/>
        </w:rPr>
        <w:t>.</w:t>
      </w:r>
    </w:p>
    <w:p>
      <w:pPr>
        <w:pStyle w:val="style0"/>
        <w:widowControl w:val="false"/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>(3) Especialista de Segundo grado en MGI. Máster en Atención Integral a la Mujer. Profesora Asistente.</w:t>
      </w:r>
    </w:p>
    <w:p>
      <w:pPr>
        <w:pStyle w:val="style0"/>
        <w:widowControl w:val="false"/>
        <w:contextualSpacing/>
        <w:rPr>
          <w:color w:val="36363d"/>
          <w:sz w:val="24"/>
          <w:szCs w:val="24"/>
        </w:rPr>
      </w:pPr>
      <w:r>
        <w:rPr>
          <w:color w:val="36363d"/>
          <w:sz w:val="24"/>
          <w:szCs w:val="24"/>
        </w:rPr>
        <w:t xml:space="preserve"> </w:t>
      </w:r>
      <w:r>
        <w:rPr>
          <w:color w:val="36363d"/>
          <w:sz w:val="24"/>
          <w:szCs w:val="24"/>
          <w:lang w:val="en-US"/>
        </w:rPr>
        <w:t>(4) Especialista de Segundo grado en MGI. Profesora Asistente. Máster en Atención Integral al Niño.</w:t>
      </w:r>
    </w:p>
    <w:p>
      <w:pPr>
        <w:pStyle w:val="style0"/>
        <w:widowControl w:val="false"/>
        <w:contextualSpacing/>
        <w:rPr>
          <w:color w:val="36363d"/>
          <w:sz w:val="24"/>
          <w:szCs w:val="24"/>
        </w:rPr>
      </w:pPr>
      <w:r>
        <w:rPr>
          <w:color w:val="36363d"/>
          <w:sz w:val="24"/>
          <w:szCs w:val="24"/>
          <w:lang w:val="en-US"/>
        </w:rPr>
        <w:t xml:space="preserve">(5) Especialista de Primer grado en M.G.I Profesora Asistente. Máster en Atención Primaria de Salud. </w:t>
      </w:r>
    </w:p>
    <w:p>
      <w:pPr>
        <w:pStyle w:val="style0"/>
        <w:widowControl w:val="false"/>
        <w:contextualSpacing/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b/>
          <w:bCs/>
          <w:sz w:val="24"/>
          <w:szCs w:val="24"/>
        </w:rPr>
        <w:t>RESUMEN</w:t>
      </w:r>
    </w:p>
    <w:p>
      <w:pPr>
        <w:pStyle w:val="style0"/>
        <w:widowControl w:val="false"/>
        <w:contextualSpacing/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widowControl w:val="false"/>
        <w:contextualSpacing/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" w:eastAsia="en-US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Introducción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: La Enfermedad Renal Crónica (ERC) en personas con Diabetes Mellitus tipo 2 (DM2) representa uno de los mayores retos sanitarios contemporáneos, es una comorbilidad frecuente con graves implicaciones para la calidad de vida de los pacientes y los sistemas de salud.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Objetivo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: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Determinar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la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prevalencia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de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Enfermedad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Renal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Crónica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en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personas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con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Diabetes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Mellitus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tipo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2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pertenecientes al GBT I del Policlínico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Alcides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Pino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Bermúdez durante el periodo de julio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del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2024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a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enero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del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2025.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Metodología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realiz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estudio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descriptivo de tipo ecológico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poblacional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detección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nfermedad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enal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rónica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estadios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tempranos en p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ersonas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iabetes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ellitus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tipo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 durante el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julio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enero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2025,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seleccionado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mediante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muestreo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estratificado.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estudio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irán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edad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sexo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tiempo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evol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ución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enfermedad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comorbilidades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estimación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tasa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filtrado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glomerular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según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ecuación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prevista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medición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proteínas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orina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mediante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Microalbuminuria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Proteína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horas.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Todos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datos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serán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recogidos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por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creado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por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autores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ará respuesta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objetivos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interés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emplear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án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técnic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estadística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inferencial.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Resultados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Permitirá estimar la prevalencia de Enfermedad Renal Crónica en personas con Diabetes Mellitus tipo 2 en el Policlínico Alcides Pino Bermúdez y se tendrá en cuenta la edad, sexo, años de evolución de la enfermedad y comorbilidades más frecuentes, lo que contribuirá a implementar estrategias terapéuticas con el fin de evitar el progreso de la enfermedad. </w:t>
      </w:r>
    </w:p>
    <w:p>
      <w:pPr>
        <w:pStyle w:val="style0"/>
        <w:spacing w:after="200" w:lineRule="auto" w:line="360"/>
        <w:jc w:val="both"/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" w:eastAsia="en-US"/>
        </w:rPr>
      </w:pPr>
    </w:p>
    <w:p>
      <w:pPr>
        <w:pStyle w:val="style0"/>
        <w:spacing w:after="200" w:lineRule="auto" w:line="360"/>
        <w:jc w:val="both"/>
        <w:rPr>
          <w:b/>
          <w:bCs/>
          <w:sz w:val="24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" w:eastAsia="en-US"/>
        </w:rPr>
        <w:t>Palabras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" w:eastAsia="en-US"/>
        </w:rPr>
        <w:t>clave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Diabetes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s-MX"/>
        </w:rPr>
        <w:t>M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ellitus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tipo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2,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E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nfermedad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R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enal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C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rónica,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CKD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EPI,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KDIGO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2024,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s-MX"/>
        </w:rPr>
        <w:t>E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stimación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de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l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a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tasa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de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filtrado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 xml:space="preserve"> 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MX" w:eastAsia="es-MX"/>
        </w:rPr>
        <w:t>glomerular</w:t>
      </w:r>
      <w:r>
        <w:rPr>
          <w:rFonts w:ascii="Arial" w:cs="Arial" w:eastAsia="SimSu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s-MX"/>
        </w:rPr>
        <w:t>.</w:t>
      </w: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INTRODUCCIÓN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nfermedad 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enal </w:t>
      </w:r>
      <w:r>
        <w:rPr>
          <w:sz w:val="24"/>
          <w:szCs w:val="24"/>
        </w:rPr>
        <w:t>C</w:t>
      </w:r>
      <w:r>
        <w:rPr>
          <w:sz w:val="24"/>
          <w:szCs w:val="24"/>
        </w:rPr>
        <w:t>rónica (ERC) en p</w:t>
      </w:r>
      <w:r>
        <w:rPr>
          <w:sz w:val="24"/>
          <w:szCs w:val="24"/>
          <w:lang w:val="en-US"/>
        </w:rPr>
        <w:t xml:space="preserve">ersonas </w:t>
      </w:r>
      <w:r>
        <w:rPr>
          <w:sz w:val="24"/>
          <w:szCs w:val="24"/>
        </w:rPr>
        <w:t xml:space="preserve">con </w:t>
      </w:r>
      <w:r>
        <w:rPr>
          <w:sz w:val="24"/>
          <w:szCs w:val="24"/>
          <w:lang w:val="en-US"/>
        </w:rPr>
        <w:t>Di</w:t>
      </w:r>
      <w:r>
        <w:rPr>
          <w:sz w:val="24"/>
          <w:szCs w:val="24"/>
        </w:rPr>
        <w:t xml:space="preserve">abetes </w:t>
      </w:r>
      <w:r>
        <w:rPr>
          <w:sz w:val="24"/>
          <w:szCs w:val="24"/>
          <w:lang w:val="en-US"/>
        </w:rPr>
        <w:t>Me</w:t>
      </w:r>
      <w:r>
        <w:rPr>
          <w:sz w:val="24"/>
          <w:szCs w:val="24"/>
        </w:rPr>
        <w:t>llitus tipo 2 (DM2) representa uno de los mayores retos sanitarios contemporáneos,</w:t>
      </w:r>
      <w:r>
        <w:rPr>
          <w:sz w:val="24"/>
          <w:szCs w:val="24"/>
          <w:lang w:val="en-US"/>
        </w:rPr>
        <w:t xml:space="preserve"> es </w:t>
      </w:r>
      <w:r>
        <w:rPr>
          <w:sz w:val="24"/>
          <w:szCs w:val="24"/>
        </w:rPr>
        <w:t>una comorbilidad frecuente con graves implicaciones para la calidad de vida de los pacientes y los sistemas de salud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(1)</w:t>
      </w:r>
      <w:r>
        <w:rPr>
          <w:sz w:val="24"/>
          <w:szCs w:val="24"/>
        </w:rPr>
        <w:t>. Esta introducción explora los antecedentes históricos, epidemiológicos y clínicos de ambas</w:t>
      </w:r>
      <w:r>
        <w:rPr>
          <w:sz w:val="24"/>
          <w:szCs w:val="24"/>
        </w:rPr>
        <w:t xml:space="preserve"> entidades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que establece </w:t>
      </w:r>
      <w:r>
        <w:rPr>
          <w:sz w:val="24"/>
          <w:szCs w:val="24"/>
        </w:rPr>
        <w:t>el marco conceptual para comprender su interrelación y relevancia actual.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sz w:val="24"/>
          <w:szCs w:val="24"/>
          <w:lang w:val="en-US"/>
        </w:rPr>
        <w:t>Di</w:t>
      </w:r>
      <w:r>
        <w:rPr>
          <w:sz w:val="24"/>
          <w:szCs w:val="24"/>
        </w:rPr>
        <w:t xml:space="preserve">abetes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>ellitus</w:t>
      </w:r>
      <w:r>
        <w:rPr>
          <w:sz w:val="24"/>
          <w:szCs w:val="24"/>
        </w:rPr>
        <w:t xml:space="preserve"> acompaña a </w:t>
      </w:r>
      <w:r>
        <w:rPr>
          <w:sz w:val="24"/>
          <w:szCs w:val="24"/>
        </w:rPr>
        <w:t>la humanidad desde tiempos remotos, encontrándose referencias a esta afección en diversas civilizaciones.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Sin embargo, fue Tomás Willis quien en 1679 realizó una descripción magistral de la enfermedad, otorgándole el nombre de</w:t>
      </w:r>
      <w:r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iabetes </w:t>
      </w:r>
      <w:r>
        <w:rPr>
          <w:sz w:val="24"/>
          <w:szCs w:val="24"/>
        </w:rPr>
        <w:t>M</w:t>
      </w:r>
      <w:r>
        <w:rPr>
          <w:sz w:val="24"/>
          <w:szCs w:val="24"/>
        </w:rPr>
        <w:t>ellitus por el característico sabor dulce de la orina de los pacientes afectados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(1</w:t>
      </w:r>
      <w:r>
        <w:rPr>
          <w:sz w:val="24"/>
          <w:szCs w:val="24"/>
          <w:vertAlign w:val="superscript"/>
          <w:lang w:val="en-US"/>
        </w:rPr>
        <w:t>,2</w:t>
      </w:r>
      <w:r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El verdadero salto en la comprensión de la diabetes ocurrió a partir del siglo XVI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cuando comenzaron a sucederse importantes descubrimientos médicos,</w:t>
      </w:r>
      <w:r>
        <w:rPr>
          <w:sz w:val="24"/>
          <w:szCs w:val="24"/>
        </w:rPr>
        <w:t xml:space="preserve"> sobre todo</w:t>
      </w:r>
      <w:r>
        <w:rPr>
          <w:sz w:val="24"/>
          <w:szCs w:val="24"/>
        </w:rPr>
        <w:t xml:space="preserve"> en Europa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(1)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Los primeros trabajos experimentales relacionados con el metabolismo de los glúcidos fueron realizados por Claude Bernard, quien descubrió el glucógeno en 1848</w:t>
      </w:r>
      <w:r>
        <w:rPr>
          <w:sz w:val="24"/>
          <w:szCs w:val="24"/>
        </w:rPr>
        <w:t xml:space="preserve"> con</w:t>
      </w:r>
      <w:r>
        <w:rPr>
          <w:sz w:val="24"/>
          <w:szCs w:val="24"/>
        </w:rPr>
        <w:t xml:space="preserve"> las bases para entender los mecanismos metabólicos subyacentes a la enfermedad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(1,2)</w:t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sz w:val="24"/>
          <w:szCs w:val="24"/>
          <w:lang w:val="en-US"/>
        </w:rPr>
        <w:t xml:space="preserve">Diabetes Mellitus </w:t>
      </w:r>
      <w:r>
        <w:rPr>
          <w:sz w:val="24"/>
          <w:szCs w:val="24"/>
        </w:rPr>
        <w:t>tipo 2 se caracteriza por la asociación de un déficit parcial en la producción de insulina junto con un aprovechamiento inadecuado de la misma por los tejidos</w:t>
      </w:r>
      <w:r>
        <w:rPr>
          <w:sz w:val="24"/>
          <w:szCs w:val="24"/>
        </w:rPr>
        <w:t xml:space="preserve"> que </w:t>
      </w:r>
      <w:r>
        <w:rPr>
          <w:sz w:val="24"/>
          <w:szCs w:val="24"/>
        </w:rPr>
        <w:t xml:space="preserve">suele ocurrir en edades más avanzadas y </w:t>
      </w:r>
      <w:r>
        <w:rPr>
          <w:sz w:val="24"/>
          <w:szCs w:val="24"/>
        </w:rPr>
        <w:t xml:space="preserve">resulta </w:t>
      </w:r>
      <w:r>
        <w:rPr>
          <w:sz w:val="24"/>
          <w:szCs w:val="24"/>
        </w:rPr>
        <w:t>diez veces más frecuente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(3)</w:t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Su desarrollo comienza con resistencia a la insulina, condición donde las células no responden normalmente a esta hormona, lo que provoca que el páncreas incremente su producción para mantener la homeostasis glucémica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(2,3)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Con el tiempo las células beta pancreáticas no pueden mantener esta hiperproducción</w:t>
      </w:r>
      <w:r>
        <w:rPr>
          <w:sz w:val="24"/>
          <w:szCs w:val="24"/>
        </w:rPr>
        <w:t xml:space="preserve"> que </w:t>
      </w:r>
      <w:r>
        <w:rPr>
          <w:sz w:val="24"/>
          <w:szCs w:val="24"/>
        </w:rPr>
        <w:t>resulta en niveles elevados de glucosa en sangre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(2)</w:t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La evolución de la DM2 tiende a la cronicidad y progresión, </w:t>
      </w:r>
      <w:r>
        <w:rPr>
          <w:sz w:val="24"/>
          <w:szCs w:val="24"/>
        </w:rPr>
        <w:t xml:space="preserve">al inicio es </w:t>
      </w:r>
      <w:r>
        <w:rPr>
          <w:sz w:val="24"/>
          <w:szCs w:val="24"/>
        </w:rPr>
        <w:t>manejable con intervenciones en el estilo de vida y tratamientos farmacológicos simples, pero requi</w:t>
      </w:r>
      <w:r>
        <w:rPr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esquemas terapéuticos más complejos con el paso del tiempo </w:t>
      </w:r>
      <w:r>
        <w:rPr>
          <w:sz w:val="24"/>
          <w:szCs w:val="24"/>
          <w:vertAlign w:val="superscript"/>
        </w:rPr>
        <w:t>(4)</w:t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Por su parte, l</w:t>
      </w:r>
      <w:r>
        <w:rPr>
          <w:sz w:val="24"/>
          <w:szCs w:val="24"/>
        </w:rPr>
        <w:t>a descripción formal de la Enfermedad Renal Crónica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 atribuye a Richard Bright quien en 1827 documentó esta</w:t>
      </w:r>
      <w:r>
        <w:rPr>
          <w:sz w:val="24"/>
          <w:szCs w:val="24"/>
        </w:rPr>
        <w:t xml:space="preserve"> entidad</w:t>
      </w:r>
      <w:r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con posterioridad</w:t>
      </w:r>
      <w:r>
        <w:rPr>
          <w:sz w:val="24"/>
          <w:szCs w:val="24"/>
        </w:rPr>
        <w:t xml:space="preserve"> se conocería como Enfermedad de Bright</w:t>
      </w:r>
      <w:bookmarkStart w:id="0" w:name="_Hlk213033544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vertAlign w:val="superscript"/>
        </w:rPr>
        <w:t>(5)</w:t>
      </w:r>
      <w:r>
        <w:rPr>
          <w:sz w:val="24"/>
          <w:szCs w:val="24"/>
        </w:rPr>
        <w:t>.</w:t>
      </w:r>
      <w:bookmarkEnd w:id="0"/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  <w:lang w:val="es-US"/>
        </w:rPr>
      </w:pPr>
      <w:r>
        <w:rPr>
          <w:sz w:val="24"/>
          <w:szCs w:val="24"/>
        </w:rPr>
        <w:t>Un hito fundamental fue el descubrimiento de la urea, proceso que se extendió por varios siglos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Jean Baptiste Van Helmont identificó una sal que nunca aparece fuera del cuerpo humano, que difiere de la sal marina y que está también presente en la orina</w:t>
      </w:r>
      <w:r>
        <w:rPr>
          <w:sz w:val="24"/>
          <w:szCs w:val="24"/>
          <w:lang w:val="en-US"/>
        </w:rPr>
        <w:t xml:space="preserve">. En </w:t>
      </w:r>
      <w:r>
        <w:rPr>
          <w:sz w:val="24"/>
          <w:szCs w:val="24"/>
        </w:rPr>
        <w:t>1727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el médico holandés Herman Boerhaave logró aislar una sustancia jabonosa en la orina, definiéndola como sal nativa de la orina, la cual sería reconocida como urea cincuenta años después</w:t>
      </w:r>
      <w:r>
        <w:rPr>
          <w:sz w:val="24"/>
          <w:szCs w:val="24"/>
          <w:lang w:val="en-US"/>
        </w:rPr>
        <w:t xml:space="preserve"> (5).</w:t>
      </w:r>
    </w:p>
    <w:p>
      <w:pPr>
        <w:pStyle w:val="style0"/>
        <w:rPr>
          <w:rFonts w:ascii="Arial" w:cs="Arial" w:hAnsi="Arial"/>
          <w:sz w:val="24"/>
          <w:szCs w:val="24"/>
          <w:lang w:val="es-US"/>
        </w:rPr>
      </w:pPr>
    </w:p>
    <w:p>
      <w:pPr>
        <w:pStyle w:val="style66"/>
        <w:spacing w:after="0" w:lineRule="auto" w:line="360"/>
        <w:rPr>
          <w:sz w:val="24"/>
          <w:szCs w:val="24"/>
        </w:rPr>
      </w:pPr>
      <w:r>
        <w:rPr>
          <w:rFonts w:ascii="Arial" w:cs="Arial" w:hAnsi="Arial"/>
          <w:sz w:val="24"/>
          <w:szCs w:val="24"/>
          <w:lang w:val="es-US"/>
        </w:rPr>
        <w:t xml:space="preserve"> La excreción </w:t>
      </w:r>
      <w:r>
        <w:rPr>
          <w:rFonts w:ascii="Arial" w:cs="Arial" w:hAnsi="Arial"/>
          <w:sz w:val="24"/>
          <w:szCs w:val="24"/>
          <w:lang w:val="en-US"/>
        </w:rPr>
        <w:t>de la creatinina s</w:t>
      </w:r>
      <w:r>
        <w:rPr>
          <w:rFonts w:ascii="Arial" w:cs="Arial" w:hAnsi="Arial"/>
          <w:sz w:val="24"/>
          <w:szCs w:val="24"/>
          <w:lang w:val="es-US"/>
        </w:rPr>
        <w:t>e realiza por vía renal mediante filtración glomerular, con la particularidad de que no experimenta procesos significativos de reabsorción ni secreción tubular, que determina que su aclaramiento se aproxime</w:t>
      </w:r>
      <w:r>
        <w:rPr>
          <w:rFonts w:ascii="Arial" w:cs="Arial" w:hAnsi="Arial"/>
          <w:sz w:val="24"/>
          <w:szCs w:val="24"/>
          <w:lang w:val="es-US"/>
        </w:rPr>
        <w:t xml:space="preserve"> con precisión </w:t>
      </w:r>
      <w:r>
        <w:rPr>
          <w:rFonts w:ascii="Arial" w:cs="Arial" w:hAnsi="Arial"/>
          <w:sz w:val="24"/>
          <w:szCs w:val="24"/>
          <w:lang w:val="es-US"/>
        </w:rPr>
        <w:t>a la tasa de filtración glomerular real</w:t>
      </w:r>
      <w:r>
        <w:rPr>
          <w:rFonts w:ascii="Arial" w:cs="Arial" w:hAnsi="Arial"/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 xml:space="preserve">Este comportamiento fisiológico específico confiere a la creatinina sérica su valor como biomarcador de elección en evaluación de función renal, </w:t>
      </w:r>
      <w:r>
        <w:rPr>
          <w:sz w:val="24"/>
          <w:szCs w:val="24"/>
        </w:rPr>
        <w:t xml:space="preserve">pues </w:t>
      </w:r>
      <w:r>
        <w:rPr>
          <w:sz w:val="24"/>
          <w:szCs w:val="24"/>
        </w:rPr>
        <w:t>su elevación en sangre refleja con notable fiabilidad la disminución de la capacidad de filtración glomerular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(5,6)</w:t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</w:p>
    <w:p>
      <w:pPr>
        <w:pStyle w:val="style66"/>
        <w:spacing w:after="0" w:lineRule="auto" w:line="360"/>
        <w:rPr>
          <w:sz w:val="24"/>
          <w:szCs w:val="24"/>
        </w:rPr>
      </w:pPr>
      <w:r>
        <w:rPr>
          <w:rFonts w:ascii="Arial" w:cs="Arial" w:hAnsi="Arial"/>
          <w:sz w:val="24"/>
          <w:szCs w:val="24"/>
          <w:lang w:val="es-US"/>
        </w:rPr>
        <w:t>Entre tanto, la</w:t>
      </w:r>
      <w:r>
        <w:rPr>
          <w:rFonts w:ascii="Arial" w:cs="Arial" w:hAnsi="Arial"/>
          <w:spacing w:val="-15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E</w:t>
      </w:r>
      <w:r>
        <w:rPr>
          <w:rFonts w:ascii="Arial" w:cs="Arial" w:hAnsi="Arial"/>
          <w:sz w:val="24"/>
          <w:szCs w:val="24"/>
          <w:lang w:val="es-US"/>
        </w:rPr>
        <w:t xml:space="preserve">nfermedad </w:t>
      </w:r>
      <w:r>
        <w:rPr>
          <w:rFonts w:ascii="Arial" w:cs="Arial" w:hAnsi="Arial"/>
          <w:sz w:val="24"/>
          <w:szCs w:val="24"/>
          <w:lang w:val="es-US"/>
        </w:rPr>
        <w:t>R</w:t>
      </w:r>
      <w:r>
        <w:rPr>
          <w:rFonts w:ascii="Arial" w:cs="Arial" w:hAnsi="Arial"/>
          <w:sz w:val="24"/>
          <w:szCs w:val="24"/>
          <w:lang w:val="es-US"/>
        </w:rPr>
        <w:t xml:space="preserve">enal </w:t>
      </w:r>
      <w:r>
        <w:rPr>
          <w:rFonts w:ascii="Arial" w:cs="Arial" w:hAnsi="Arial"/>
          <w:sz w:val="24"/>
          <w:szCs w:val="24"/>
          <w:lang w:val="es-US"/>
        </w:rPr>
        <w:t>C</w:t>
      </w:r>
      <w:r>
        <w:rPr>
          <w:rFonts w:ascii="Arial" w:cs="Arial" w:hAnsi="Arial"/>
          <w:sz w:val="24"/>
          <w:szCs w:val="24"/>
          <w:lang w:val="es-US"/>
        </w:rPr>
        <w:t>rónica</w:t>
      </w:r>
      <w:r>
        <w:rPr>
          <w:rFonts w:ascii="Arial" w:cs="Arial" w:hAnsi="Arial"/>
          <w:spacing w:val="-15"/>
          <w:sz w:val="24"/>
          <w:szCs w:val="24"/>
          <w:lang w:val="es-US"/>
        </w:rPr>
        <w:t xml:space="preserve"> es definida por la </w:t>
      </w:r>
      <w:r>
        <w:rPr>
          <w:rFonts w:ascii="Arial" w:cs="Arial" w:hAnsi="Arial"/>
          <w:sz w:val="24"/>
          <w:szCs w:val="24"/>
          <w:lang w:val="es-US"/>
        </w:rPr>
        <w:t>Kidney</w:t>
      </w:r>
      <w:r>
        <w:rPr>
          <w:rFonts w:ascii="Arial" w:cs="Arial" w:hAnsi="Arial"/>
          <w:spacing w:val="-15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Disease</w:t>
      </w:r>
      <w:r>
        <w:rPr>
          <w:rFonts w:ascii="Arial" w:cs="Arial" w:hAnsi="Arial"/>
          <w:spacing w:val="-15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Improved</w:t>
      </w:r>
      <w:r>
        <w:rPr>
          <w:rFonts w:ascii="Arial" w:cs="Arial" w:hAnsi="Arial"/>
          <w:spacing w:val="-15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Global</w:t>
      </w:r>
      <w:r>
        <w:rPr>
          <w:rFonts w:ascii="Arial" w:cs="Arial" w:hAnsi="Arial"/>
          <w:spacing w:val="-15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Outcomes</w:t>
      </w:r>
      <w:r>
        <w:rPr>
          <w:rFonts w:ascii="Arial" w:cs="Arial" w:hAnsi="Arial"/>
          <w:spacing w:val="-15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(KDIGO)</w:t>
      </w:r>
      <w:r>
        <w:rPr>
          <w:rFonts w:ascii="Arial" w:cs="Arial" w:hAnsi="Arial"/>
          <w:spacing w:val="-15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como</w:t>
      </w:r>
      <w:r>
        <w:rPr>
          <w:rFonts w:ascii="Arial" w:cs="Arial" w:hAnsi="Arial"/>
          <w:spacing w:val="-15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 xml:space="preserve">una disminución de la tasa de filtrado glomerular (TFG) con &lt;60 ml/min </w:t>
      </w:r>
      <w:r>
        <w:rPr>
          <w:rFonts w:ascii="Arial" w:cs="Arial" w:hAnsi="Arial"/>
          <w:sz w:val="24"/>
          <w:szCs w:val="24"/>
          <w:lang w:val="es-US"/>
        </w:rPr>
        <w:t>que se acompa</w:t>
      </w:r>
      <w:r>
        <w:rPr>
          <w:sz w:val="24"/>
          <w:szCs w:val="24"/>
        </w:rPr>
        <w:t>ñ</w:t>
      </w:r>
      <w:r>
        <w:rPr>
          <w:rFonts w:ascii="Arial" w:cs="Arial" w:hAnsi="Arial"/>
          <w:sz w:val="24"/>
          <w:szCs w:val="24"/>
          <w:lang w:val="es-US"/>
        </w:rPr>
        <w:t>a</w:t>
      </w:r>
      <w:r>
        <w:rPr>
          <w:rFonts w:ascii="Arial" w:cs="Arial" w:hAnsi="Arial"/>
          <w:sz w:val="24"/>
          <w:szCs w:val="24"/>
          <w:lang w:val="es-US"/>
        </w:rPr>
        <w:t xml:space="preserve"> por</w:t>
      </w:r>
      <w:r>
        <w:rPr>
          <w:rFonts w:ascii="Arial" w:cs="Arial" w:hAnsi="Arial"/>
          <w:spacing w:val="-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anormalidades</w:t>
      </w:r>
      <w:r>
        <w:rPr>
          <w:rFonts w:ascii="Arial" w:cs="Arial" w:hAnsi="Arial"/>
          <w:spacing w:val="-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estructurales</w:t>
      </w:r>
      <w:r>
        <w:rPr>
          <w:rFonts w:ascii="Arial" w:cs="Arial" w:hAnsi="Arial"/>
          <w:spacing w:val="-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o</w:t>
      </w:r>
      <w:r>
        <w:rPr>
          <w:rFonts w:ascii="Arial" w:cs="Arial" w:hAnsi="Arial"/>
          <w:spacing w:val="-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funcionales</w:t>
      </w:r>
      <w:r>
        <w:rPr>
          <w:rFonts w:ascii="Arial" w:cs="Arial" w:hAnsi="Arial"/>
          <w:spacing w:val="-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presentes</w:t>
      </w:r>
      <w:r>
        <w:rPr>
          <w:rFonts w:ascii="Arial" w:cs="Arial" w:hAnsi="Arial"/>
          <w:spacing w:val="-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por</w:t>
      </w:r>
      <w:r>
        <w:rPr>
          <w:rFonts w:ascii="Arial" w:cs="Arial" w:hAnsi="Arial"/>
          <w:spacing w:val="-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más</w:t>
      </w:r>
      <w:r>
        <w:rPr>
          <w:rFonts w:ascii="Arial" w:cs="Arial" w:hAnsi="Arial"/>
          <w:spacing w:val="-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de</w:t>
      </w:r>
      <w:r>
        <w:rPr>
          <w:rFonts w:ascii="Arial" w:cs="Arial" w:hAnsi="Arial"/>
          <w:spacing w:val="-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tres</w:t>
      </w:r>
      <w:r>
        <w:rPr>
          <w:rFonts w:ascii="Arial" w:cs="Arial" w:hAnsi="Arial"/>
          <w:spacing w:val="-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meses</w:t>
      </w:r>
      <w:r>
        <w:rPr>
          <w:rFonts w:ascii="Arial" w:cs="Arial" w:hAnsi="Arial"/>
          <w:spacing w:val="-4"/>
          <w:sz w:val="24"/>
          <w:szCs w:val="24"/>
          <w:lang w:val="es-US"/>
        </w:rPr>
        <w:t xml:space="preserve"> y </w:t>
      </w:r>
      <w:r>
        <w:rPr>
          <w:rFonts w:ascii="Arial" w:cs="Arial" w:hAnsi="Arial"/>
          <w:sz w:val="24"/>
          <w:szCs w:val="24"/>
          <w:lang w:val="es-US"/>
        </w:rPr>
        <w:t>se</w:t>
      </w:r>
      <w:r>
        <w:rPr>
          <w:rFonts w:ascii="Arial" w:cs="Arial" w:hAnsi="Arial"/>
          <w:spacing w:val="-1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clasifica</w:t>
      </w:r>
      <w:r>
        <w:rPr>
          <w:rFonts w:ascii="Arial" w:cs="Arial" w:hAnsi="Arial"/>
          <w:spacing w:val="-1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en</w:t>
      </w:r>
      <w:r>
        <w:rPr>
          <w:rFonts w:ascii="Arial" w:cs="Arial" w:hAnsi="Arial"/>
          <w:spacing w:val="-1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cinco</w:t>
      </w:r>
      <w:r>
        <w:rPr>
          <w:rFonts w:ascii="Arial" w:cs="Arial" w:hAnsi="Arial"/>
          <w:spacing w:val="-1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diferentes</w:t>
      </w:r>
      <w:r>
        <w:rPr>
          <w:rFonts w:ascii="Arial" w:cs="Arial" w:hAnsi="Arial"/>
          <w:spacing w:val="-1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estadios</w:t>
      </w:r>
      <w:r>
        <w:rPr>
          <w:rFonts w:ascii="Arial" w:cs="Arial" w:hAnsi="Arial"/>
          <w:spacing w:val="-1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de</w:t>
      </w:r>
      <w:r>
        <w:rPr>
          <w:rFonts w:ascii="Arial" w:cs="Arial" w:hAnsi="Arial"/>
          <w:spacing w:val="-1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acuerdo</w:t>
      </w:r>
      <w:r>
        <w:rPr>
          <w:rFonts w:ascii="Arial" w:cs="Arial" w:hAnsi="Arial"/>
          <w:spacing w:val="-14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con la TFG y la albuminuria</w:t>
      </w:r>
      <w:r>
        <w:rPr>
          <w:rFonts w:ascii="Arial" w:cs="Arial" w:hAnsi="Arial"/>
          <w:sz w:val="24"/>
          <w:szCs w:val="24"/>
          <w:lang w:val="es-US"/>
        </w:rPr>
        <w:t xml:space="preserve"> </w:t>
      </w:r>
      <w:bookmarkStart w:id="1" w:name="_Hlk213035010"/>
      <w:r>
        <w:rPr>
          <w:sz w:val="24"/>
          <w:szCs w:val="24"/>
          <w:vertAlign w:val="superscript"/>
        </w:rPr>
        <w:t>(6)</w:t>
      </w:r>
      <w:r>
        <w:rPr>
          <w:sz w:val="24"/>
          <w:szCs w:val="24"/>
        </w:rPr>
        <w:t xml:space="preserve">. </w:t>
      </w:r>
      <w:bookmarkEnd w:id="1"/>
    </w:p>
    <w:p>
      <w:pPr>
        <w:pStyle w:val="style66"/>
        <w:spacing w:after="0" w:lineRule="auto" w:line="360"/>
        <w:rPr>
          <w:sz w:val="24"/>
          <w:szCs w:val="24"/>
        </w:rPr>
      </w:pPr>
    </w:p>
    <w:p>
      <w:pPr>
        <w:pStyle w:val="style4098"/>
        <w:spacing w:lineRule="auto" w:line="360"/>
        <w:rPr>
          <w:sz w:val="24"/>
          <w:szCs w:val="24"/>
        </w:rPr>
      </w:pPr>
      <w:r>
        <w:rPr>
          <w:rFonts w:ascii="Arial" w:cs="Arial" w:hAnsi="Arial"/>
          <w:sz w:val="24"/>
          <w:szCs w:val="24"/>
          <w:lang w:val="es-US"/>
        </w:rPr>
        <w:t xml:space="preserve">La creatinina sérica y la albuminuria constituyen marcadores utilizados en la predicción y diagnóstico precoz de la Enfermedad Renal Crónica. El uso de ecuaciones como CKD-EPI </w:t>
      </w:r>
      <w:r>
        <w:rPr>
          <w:rFonts w:ascii="Arial" w:cs="Arial" w:hAnsi="Arial"/>
          <w:sz w:val="24"/>
          <w:szCs w:val="24"/>
          <w:lang w:val="es-US"/>
        </w:rPr>
        <w:t xml:space="preserve">o MDR revoluciona </w:t>
      </w:r>
      <w:r>
        <w:rPr>
          <w:rFonts w:ascii="Arial" w:cs="Arial" w:hAnsi="Arial"/>
          <w:sz w:val="24"/>
          <w:szCs w:val="24"/>
          <w:lang w:val="es-US"/>
        </w:rPr>
        <w:t xml:space="preserve">el modo en la detección, control y seguimiento de los pacientes en riesgo de desarrollar la enfermedad, </w:t>
      </w:r>
      <w:r>
        <w:rPr>
          <w:rFonts w:ascii="Arial" w:cs="Arial" w:hAnsi="Arial"/>
          <w:sz w:val="24"/>
          <w:szCs w:val="24"/>
          <w:lang w:val="es-US"/>
        </w:rPr>
        <w:t>pues</w:t>
      </w:r>
      <w:r>
        <w:rPr>
          <w:rFonts w:ascii="Arial" w:cs="Arial" w:hAnsi="Arial"/>
          <w:sz w:val="24"/>
          <w:szCs w:val="24"/>
          <w:lang w:val="es-US"/>
        </w:rPr>
        <w:t xml:space="preserve"> permite un cálculo accesible de la</w:t>
      </w:r>
      <w:r>
        <w:rPr>
          <w:rFonts w:ascii="Arial" w:cs="Arial" w:hAnsi="Arial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TFG</w:t>
      </w:r>
      <w:r>
        <w:rPr>
          <w:rFonts w:ascii="Arial" w:cs="Arial" w:hAnsi="Arial"/>
          <w:sz w:val="24"/>
          <w:szCs w:val="24"/>
          <w:lang w:val="es-US"/>
        </w:rPr>
        <w:t xml:space="preserve"> c</w:t>
      </w:r>
      <w:r>
        <w:rPr>
          <w:rFonts w:ascii="Arial" w:cs="Arial" w:hAnsi="Arial"/>
          <w:sz w:val="24"/>
          <w:szCs w:val="24"/>
          <w:lang w:val="es-US"/>
        </w:rPr>
        <w:t>omo es el caso de las personas con Diabetes Mellitus tipo 2</w:t>
      </w:r>
      <w:r>
        <w:rPr>
          <w:rFonts w:ascii="Arial" w:cs="Arial" w:hAnsi="Arial"/>
          <w:sz w:val="24"/>
          <w:szCs w:val="24"/>
          <w:lang w:val="es-US"/>
        </w:rPr>
        <w:t xml:space="preserve"> </w:t>
      </w:r>
      <w:r>
        <w:rPr>
          <w:sz w:val="24"/>
          <w:szCs w:val="24"/>
          <w:vertAlign w:val="superscript"/>
        </w:rPr>
        <w:t>(6)</w:t>
      </w:r>
      <w:r>
        <w:rPr>
          <w:sz w:val="24"/>
          <w:szCs w:val="24"/>
        </w:rPr>
        <w:t xml:space="preserve">. </w:t>
      </w:r>
    </w:p>
    <w:p>
      <w:pPr>
        <w:pStyle w:val="style4098"/>
        <w:spacing w:lineRule="auto" w:line="360"/>
        <w:rPr>
          <w:sz w:val="24"/>
          <w:szCs w:val="24"/>
        </w:rPr>
      </w:pPr>
    </w:p>
    <w:p>
      <w:pPr>
        <w:pStyle w:val="style4098"/>
        <w:spacing w:lineRule="auto" w:line="360"/>
        <w:rPr>
          <w:rFonts w:ascii="Arial" w:cs="Arial" w:hAnsi="Arial"/>
          <w:sz w:val="24"/>
          <w:szCs w:val="24"/>
          <w:lang w:val="es-US"/>
        </w:rPr>
      </w:pPr>
      <w:r>
        <w:rPr>
          <w:rFonts w:ascii="Arial" w:cs="Arial" w:hAnsi="Arial"/>
          <w:sz w:val="24"/>
          <w:szCs w:val="24"/>
        </w:rPr>
        <w:t xml:space="preserve">La Diabetes Mellitus </w:t>
      </w:r>
      <w:r>
        <w:rPr>
          <w:rFonts w:ascii="Arial" w:cs="Arial" w:hAnsi="Arial"/>
          <w:sz w:val="24"/>
          <w:szCs w:val="24"/>
        </w:rPr>
        <w:t xml:space="preserve">tipo 2 </w:t>
      </w:r>
      <w:r>
        <w:rPr>
          <w:rFonts w:ascii="Arial" w:cs="Arial" w:hAnsi="Arial"/>
          <w:sz w:val="24"/>
          <w:szCs w:val="24"/>
        </w:rPr>
        <w:t>constituye</w:t>
      </w:r>
      <w:r>
        <w:rPr>
          <w:rFonts w:ascii="Arial" w:cs="Arial" w:hAnsi="Arial"/>
          <w:sz w:val="24"/>
          <w:szCs w:val="24"/>
        </w:rPr>
        <w:t xml:space="preserve"> en la actualidad una </w:t>
      </w:r>
      <w:r>
        <w:rPr>
          <w:rFonts w:ascii="Arial" w:cs="Arial" w:hAnsi="Arial"/>
          <w:sz w:val="24"/>
          <w:szCs w:val="24"/>
        </w:rPr>
        <w:t>pandemia global con cifras en constante crecimiento. Según datos recientes de la Organización Mundial de la Salud (OMS)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el número de adultos que viven con diabetes en todo el mundo ha superado los 800 millones,</w:t>
      </w:r>
      <w:r>
        <w:rPr>
          <w:rFonts w:ascii="Arial" w:cs="Arial" w:hAnsi="Arial"/>
          <w:sz w:val="24"/>
          <w:szCs w:val="24"/>
        </w:rPr>
        <w:t xml:space="preserve"> valor que se ha visto </w:t>
      </w:r>
      <w:r>
        <w:rPr>
          <w:rFonts w:ascii="Arial" w:cs="Arial" w:hAnsi="Arial"/>
          <w:sz w:val="24"/>
          <w:szCs w:val="24"/>
        </w:rPr>
        <w:t xml:space="preserve">cuadruplicado </w:t>
      </w:r>
      <w:r>
        <w:rPr>
          <w:rFonts w:ascii="Arial" w:cs="Arial" w:hAnsi="Arial"/>
          <w:sz w:val="24"/>
          <w:szCs w:val="24"/>
        </w:rPr>
        <w:t>desde 1990. La prevalencia mundial de diabetes en adultos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experiment</w:t>
      </w:r>
      <w:r>
        <w:rPr>
          <w:rFonts w:ascii="Arial" w:cs="Arial" w:hAnsi="Arial"/>
          <w:sz w:val="24"/>
          <w:szCs w:val="24"/>
        </w:rPr>
        <w:t>ó</w:t>
      </w:r>
      <w:r>
        <w:rPr>
          <w:rFonts w:ascii="Arial" w:cs="Arial" w:hAnsi="Arial"/>
          <w:sz w:val="24"/>
          <w:szCs w:val="24"/>
        </w:rPr>
        <w:t xml:space="preserve"> un incremento dramático</w:t>
      </w:r>
      <w:r>
        <w:rPr>
          <w:rFonts w:ascii="Arial" w:cs="Arial" w:hAnsi="Arial"/>
          <w:sz w:val="24"/>
          <w:szCs w:val="24"/>
        </w:rPr>
        <w:t xml:space="preserve"> desde </w:t>
      </w:r>
      <w:r>
        <w:rPr>
          <w:rFonts w:ascii="Arial" w:cs="Arial" w:hAnsi="Arial"/>
          <w:sz w:val="24"/>
          <w:szCs w:val="24"/>
        </w:rPr>
        <w:t>7% al 14% entre 1990 y 2022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(7)</w:t>
      </w:r>
      <w:r>
        <w:rPr>
          <w:sz w:val="24"/>
          <w:szCs w:val="24"/>
        </w:rPr>
        <w:t xml:space="preserve">. </w:t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La Federación Internacional de Diabetes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señala que existen globalmente entre 340 y 536 millones de personas con 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iabetes </w:t>
      </w: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ellitus, cifras </w:t>
      </w:r>
      <w:r>
        <w:rPr>
          <w:sz w:val="24"/>
          <w:szCs w:val="24"/>
        </w:rPr>
        <w:t xml:space="preserve">que </w:t>
      </w:r>
      <w:r>
        <w:rPr>
          <w:sz w:val="24"/>
          <w:szCs w:val="24"/>
        </w:rPr>
        <w:t>alcanzarán entre 521 y 821 millones para el año 2040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Esto significaría un aumento en la prevalencia mundial del 2,8% registrado en el año 2000 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10,4%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para 2040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En contextos específicos como Cuba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hasta el año 2020 se registraba una prevalencia de</w:t>
      </w:r>
      <w:r>
        <w:rPr>
          <w:sz w:val="24"/>
          <w:szCs w:val="24"/>
        </w:rPr>
        <w:t xml:space="preserve"> la enfermedad </w:t>
      </w:r>
      <w:r>
        <w:rPr>
          <w:sz w:val="24"/>
          <w:szCs w:val="24"/>
        </w:rPr>
        <w:t>de 66,7 por cada 1000 habitantes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(6,7)</w:t>
      </w:r>
      <w:r>
        <w:rPr>
          <w:sz w:val="24"/>
          <w:szCs w:val="24"/>
        </w:rPr>
        <w:t xml:space="preserve">. 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Este crecimiento exponencial posiciona a la diabetes como la novena causa principal de muerte a nivel mundial. La distribución geográfica de la enfermedad muestra una presencia significativa en economías tanto desarrolladas como emergentes y subdesarrolladas</w:t>
      </w:r>
      <w:r>
        <w:rPr>
          <w:sz w:val="24"/>
          <w:szCs w:val="24"/>
          <w:lang w:val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superscript"/>
          <w:em w:val="none"/>
          <w:lang w:val="es-US" w:eastAsia="es-MX"/>
        </w:rPr>
        <w:t>(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superscript"/>
          <w:em w:val="none"/>
          <w:lang w:val="en-US" w:eastAsia="es-MX"/>
        </w:rPr>
        <w:t>6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superscript"/>
          <w:em w:val="none"/>
          <w:lang w:val="es-US" w:eastAsia="es-MX"/>
        </w:rPr>
        <w:t>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.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 xml:space="preserve">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El incremento en la prevalencia de </w:t>
      </w:r>
      <w:r>
        <w:rPr>
          <w:sz w:val="24"/>
          <w:szCs w:val="24"/>
          <w:lang w:val="en-US"/>
        </w:rPr>
        <w:t>Di</w:t>
      </w:r>
      <w:r>
        <w:rPr>
          <w:sz w:val="24"/>
          <w:szCs w:val="24"/>
        </w:rPr>
        <w:t xml:space="preserve">abetes </w:t>
      </w:r>
      <w:r>
        <w:rPr>
          <w:sz w:val="24"/>
          <w:szCs w:val="24"/>
          <w:lang w:val="en-US"/>
        </w:rPr>
        <w:t xml:space="preserve">Mellitus </w:t>
      </w:r>
      <w:r>
        <w:rPr>
          <w:sz w:val="24"/>
          <w:szCs w:val="24"/>
        </w:rPr>
        <w:t>tipo 2 responde a múltiples factores interconectados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 xml:space="preserve">Los principales factores de riesgo identificados para el desarrollo de </w:t>
      </w:r>
      <w:r>
        <w:rPr>
          <w:sz w:val="24"/>
          <w:szCs w:val="24"/>
          <w:lang w:val="en-US"/>
        </w:rPr>
        <w:t>Di</w:t>
      </w:r>
      <w:r>
        <w:rPr>
          <w:sz w:val="24"/>
          <w:szCs w:val="24"/>
        </w:rPr>
        <w:t xml:space="preserve">abetes </w:t>
      </w:r>
      <w:r>
        <w:rPr>
          <w:sz w:val="24"/>
          <w:szCs w:val="24"/>
          <w:lang w:val="en-US"/>
        </w:rPr>
        <w:t xml:space="preserve">Mellitus </w:t>
      </w:r>
      <w:r>
        <w:rPr>
          <w:sz w:val="24"/>
          <w:szCs w:val="24"/>
        </w:rPr>
        <w:t>tipo 2 incluyen</w:t>
      </w:r>
      <w:r>
        <w:rPr>
          <w:sz w:val="24"/>
          <w:szCs w:val="24"/>
        </w:rPr>
        <w:t xml:space="preserve"> s</w:t>
      </w:r>
      <w:r>
        <w:rPr>
          <w:sz w:val="24"/>
          <w:szCs w:val="24"/>
        </w:rPr>
        <w:t>obrepeso u obesidad</w:t>
      </w:r>
      <w:r>
        <w:rPr>
          <w:sz w:val="24"/>
          <w:szCs w:val="24"/>
          <w:lang w:val="en-US"/>
        </w:rPr>
        <w:t>, e</w:t>
      </w:r>
      <w:r>
        <w:rPr>
          <w:sz w:val="24"/>
          <w:szCs w:val="24"/>
        </w:rPr>
        <w:t>dad avanzada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antecedentes</w:t>
      </w:r>
      <w:r>
        <w:rPr>
          <w:sz w:val="24"/>
          <w:szCs w:val="24"/>
        </w:rPr>
        <w:t xml:space="preserve"> familiares de </w:t>
      </w:r>
      <w:r>
        <w:rPr>
          <w:sz w:val="24"/>
          <w:szCs w:val="24"/>
          <w:lang w:val="en-US"/>
        </w:rPr>
        <w:t>Diabetes Mellitus</w:t>
      </w:r>
      <w:r>
        <w:rPr>
          <w:sz w:val="24"/>
          <w:szCs w:val="24"/>
          <w:lang w:val="en-US"/>
        </w:rPr>
        <w:t>, p</w:t>
      </w:r>
      <w:r>
        <w:rPr>
          <w:sz w:val="24"/>
          <w:szCs w:val="24"/>
        </w:rPr>
        <w:t>ertenencia a ciertos grupos étnico</w:t>
      </w:r>
      <w:r>
        <w:rPr>
          <w:sz w:val="24"/>
          <w:szCs w:val="24"/>
          <w:lang w:val="en-US"/>
        </w:rPr>
        <w:t xml:space="preserve">s, 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nactividad física</w:t>
      </w:r>
      <w:r>
        <w:rPr>
          <w:sz w:val="24"/>
          <w:szCs w:val="24"/>
          <w:lang w:val="en-US"/>
        </w:rPr>
        <w:t>, p</w:t>
      </w:r>
      <w:r>
        <w:rPr>
          <w:sz w:val="24"/>
          <w:szCs w:val="24"/>
        </w:rPr>
        <w:t>rediabete</w:t>
      </w:r>
      <w:r>
        <w:rPr>
          <w:sz w:val="24"/>
          <w:szCs w:val="24"/>
        </w:rPr>
        <w:t>s y a</w:t>
      </w:r>
      <w:r>
        <w:rPr>
          <w:sz w:val="24"/>
          <w:szCs w:val="24"/>
        </w:rPr>
        <w:t>ntecedentes de diabetes gestacional o haber dado a luz bebés con peso elevado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 xml:space="preserve">. 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La mayoría de los pacientes con </w:t>
      </w:r>
      <w:r>
        <w:rPr>
          <w:sz w:val="24"/>
          <w:szCs w:val="24"/>
          <w:lang w:val="en-US"/>
        </w:rPr>
        <w:t>Dia</w:t>
      </w:r>
      <w:r>
        <w:rPr>
          <w:sz w:val="24"/>
          <w:szCs w:val="24"/>
        </w:rPr>
        <w:t xml:space="preserve">betes </w:t>
      </w:r>
      <w:r>
        <w:rPr>
          <w:sz w:val="24"/>
          <w:szCs w:val="24"/>
          <w:lang w:val="en-US"/>
        </w:rPr>
        <w:t>Me</w:t>
      </w:r>
      <w:r>
        <w:rPr>
          <w:sz w:val="24"/>
          <w:szCs w:val="24"/>
        </w:rPr>
        <w:t>llitus tipo 2 desarrollan al menos una complicación a lo largo de su enfermedad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La nefropatía diabética representa una de las complicaciones más graves y frecuentes,</w:t>
      </w:r>
      <w:r>
        <w:rPr>
          <w:sz w:val="24"/>
          <w:szCs w:val="24"/>
        </w:rPr>
        <w:t xml:space="preserve"> convirtiéndose en</w:t>
      </w:r>
      <w:r>
        <w:rPr>
          <w:sz w:val="24"/>
          <w:szCs w:val="24"/>
        </w:rPr>
        <w:t xml:space="preserve"> la principal causa de enfermedad renal terminal en numerosos países desarrollados. La predisposición genética y el sobrepeso condicionan la aparición de estas complicaciones que son la principal causa de morbilidad y mortalidad en estos pacientes </w:t>
      </w:r>
      <w:r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  <w:lang w:val="en-US"/>
        </w:rPr>
        <w:t>5,6</w:t>
      </w:r>
      <w:r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 xml:space="preserve">. 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La enfermedad renal diabética sigue un curso progresivo caracterizado por alteraciones hemodinámicas iniciales, cambios estructurales glomerulares y tubulares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 finalmente, pérdida de la función renal. La presencia de hiperglucemia sostenida, </w:t>
      </w:r>
      <w:r>
        <w:rPr>
          <w:sz w:val="24"/>
          <w:szCs w:val="24"/>
          <w:lang w:val="en-US"/>
        </w:rPr>
        <w:t>Hi</w:t>
      </w:r>
      <w:r>
        <w:rPr>
          <w:sz w:val="24"/>
          <w:szCs w:val="24"/>
        </w:rPr>
        <w:t xml:space="preserve">pertensión </w:t>
      </w:r>
      <w:r>
        <w:rPr>
          <w:sz w:val="24"/>
          <w:szCs w:val="24"/>
          <w:lang w:val="en-US"/>
        </w:rPr>
        <w:t>Ar</w:t>
      </w:r>
      <w:r>
        <w:rPr>
          <w:sz w:val="24"/>
          <w:szCs w:val="24"/>
        </w:rPr>
        <w:t>terial, dislipidemia y activación del sistema renina-angiotensina-aldosterona contribuyen al daño renal progresivo en pacientes diabéticos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 xml:space="preserve">. 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Con la investigación </w:t>
      </w:r>
      <w:r>
        <w:rPr>
          <w:sz w:val="24"/>
          <w:szCs w:val="24"/>
        </w:rPr>
        <w:t xml:space="preserve">se pretende generar conocimiento sobre la prevalencia medida a la aparición de </w:t>
      </w:r>
      <w:r>
        <w:rPr>
          <w:sz w:val="24"/>
          <w:szCs w:val="24"/>
          <w:lang w:val="en-US"/>
        </w:rPr>
        <w:t xml:space="preserve">la enfermedad renal en personas con Diabetes Mellitus tipo 2 </w:t>
      </w:r>
      <w:r>
        <w:rPr>
          <w:sz w:val="24"/>
          <w:szCs w:val="24"/>
        </w:rPr>
        <w:t>que nos permita predecir con cierto grado de certeza su posible comportamiento</w:t>
      </w:r>
      <w:r>
        <w:rPr>
          <w:sz w:val="24"/>
          <w:szCs w:val="24"/>
        </w:rPr>
        <w:t xml:space="preserve"> que influya de manera positiva en </w:t>
      </w:r>
      <w:r>
        <w:rPr>
          <w:sz w:val="24"/>
          <w:szCs w:val="24"/>
        </w:rPr>
        <w:t xml:space="preserve">la capacidad en la toma de decisiones acertadas y sobre una base científica que busque como objetivo fundamental reducir el impacto económico y social de esta </w:t>
      </w:r>
      <w:r>
        <w:rPr>
          <w:sz w:val="24"/>
          <w:szCs w:val="24"/>
        </w:rPr>
        <w:t>entidad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 xml:space="preserve">por lo cual se propone el siguiente problema científico. </w:t>
      </w:r>
    </w:p>
    <w:p>
      <w:pPr>
        <w:pStyle w:val="style0"/>
        <w:spacing w:before="60" w:after="0"/>
        <w:rPr>
          <w:b/>
          <w:color w:val="000000"/>
          <w:sz w:val="24"/>
          <w:szCs w:val="24"/>
          <w:lang w:val="en-US"/>
        </w:rPr>
      </w:pPr>
    </w:p>
    <w:p>
      <w:pPr>
        <w:pStyle w:val="style0"/>
        <w:spacing w:before="60" w:after="0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Problema Científico:</w:t>
      </w:r>
      <w:r>
        <w:rPr>
          <w:color w:val="000000"/>
          <w:sz w:val="24"/>
          <w:szCs w:val="24"/>
          <w:lang w:val="en-US"/>
        </w:rPr>
        <w:t xml:space="preserve"> ¿Cuál es la prevalencia de Enfermedad Renal Crónica en personas con Diabetes Mellitus tipo 2 pertenecientes al GBT I del Policlínico Alcides Pino Bermúdez durante el periodo de julio del 2024 a enero del 2025?</w:t>
      </w:r>
    </w:p>
    <w:p>
      <w:pPr>
        <w:pStyle w:val="style0"/>
        <w:spacing w:before="60" w:after="0"/>
        <w:rPr>
          <w:b/>
          <w:bCs/>
          <w:color w:val="000000"/>
          <w:sz w:val="24"/>
          <w:szCs w:val="24"/>
        </w:rPr>
      </w:pPr>
    </w:p>
    <w:p>
      <w:pPr>
        <w:pStyle w:val="style0"/>
        <w:spacing w:before="60" w:after="0"/>
        <w:rPr>
          <w:color w:val="000000"/>
          <w:sz w:val="24"/>
          <w:szCs w:val="24"/>
          <w:lang w:val="en-US"/>
        </w:rPr>
      </w:pPr>
      <w:r>
        <w:rPr>
          <w:b w:val="false"/>
          <w:bCs w:val="false"/>
          <w:color w:val="000000"/>
          <w:sz w:val="24"/>
          <w:szCs w:val="24"/>
          <w:lang w:val="en-US"/>
        </w:rPr>
        <w:t>Para darle respuesta al problema científico nos planteamos como o</w:t>
      </w:r>
      <w:r>
        <w:rPr>
          <w:b w:val="false"/>
          <w:bCs w:val="false"/>
          <w:color w:val="000000"/>
          <w:sz w:val="24"/>
          <w:szCs w:val="24"/>
        </w:rPr>
        <w:t xml:space="preserve">bjetivo </w:t>
      </w:r>
      <w:r>
        <w:rPr>
          <w:b w:val="false"/>
          <w:bCs w:val="false"/>
          <w:color w:val="000000"/>
          <w:sz w:val="24"/>
          <w:szCs w:val="24"/>
          <w:lang w:val="en-US"/>
        </w:rPr>
        <w:t>ge</w:t>
      </w:r>
      <w:r>
        <w:rPr>
          <w:b w:val="false"/>
          <w:bCs w:val="false"/>
          <w:color w:val="000000"/>
          <w:sz w:val="24"/>
          <w:szCs w:val="24"/>
        </w:rPr>
        <w:t>neral</w:t>
      </w:r>
      <w:r>
        <w:rPr>
          <w:b w:val="false"/>
          <w:bCs w:val="false"/>
          <w:color w:val="000000"/>
          <w:sz w:val="24"/>
          <w:szCs w:val="24"/>
          <w:lang w:val="en-US"/>
        </w:rPr>
        <w:t xml:space="preserve"> la d</w:t>
      </w:r>
      <w:r>
        <w:rPr>
          <w:color w:val="000000"/>
          <w:sz w:val="24"/>
          <w:szCs w:val="24"/>
          <w:lang w:val="en-US"/>
        </w:rPr>
        <w:t>eterminación de la prevalencia de Enfermedad Renal Crónica en personas con Diabetes Mellitus tipo 2 pertenecientes al GBT I del Policlínico Alcides Pino Bermúdez durante el periodo de julio del 2024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a enero del 2025.</w:t>
      </w:r>
    </w:p>
    <w:p>
      <w:pPr>
        <w:pStyle w:val="style0"/>
        <w:rPr>
          <w:color w:val="000000"/>
          <w:sz w:val="24"/>
          <w:szCs w:val="24"/>
          <w:lang w:val="en-US"/>
        </w:rPr>
      </w:pPr>
    </w:p>
    <w:p>
      <w:pPr>
        <w:pStyle w:val="style0"/>
        <w:rPr>
          <w:color w:val="000000"/>
          <w:sz w:val="24"/>
          <w:szCs w:val="24"/>
          <w:lang w:val="en-US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MATERIAL Y MÉTODOS</w:t>
      </w:r>
    </w:p>
    <w:p>
      <w:pPr>
        <w:pStyle w:val="style0"/>
        <w:spacing w:before="60" w:after="0"/>
        <w:rPr>
          <w:rFonts w:eastAsia="Times New Roman"/>
          <w:sz w:val="24"/>
          <w:szCs w:val="24"/>
          <w:lang w:val="en-US" w:eastAsia="en-US"/>
        </w:rPr>
      </w:pPr>
      <w:r>
        <w:rPr>
          <w:rFonts w:eastAsia="Noto Sans Mono CJK SC"/>
          <w:b/>
          <w:bCs/>
          <w:sz w:val="24"/>
          <w:szCs w:val="24"/>
          <w:lang w:bidi="hi-IN" w:eastAsia="zh-CN"/>
        </w:rPr>
        <w:t>Clasificación del estudio</w:t>
      </w:r>
      <w:r>
        <w:rPr>
          <w:rFonts w:eastAsia="Noto Sans Mono CJK SC"/>
          <w:b/>
          <w:bCs/>
          <w:sz w:val="24"/>
          <w:szCs w:val="24"/>
          <w:lang w:val="en-US" w:bidi="hi-IN" w:eastAsia="zh-CN"/>
        </w:rPr>
        <w:t xml:space="preserve"> y universo: </w:t>
      </w:r>
      <w:r>
        <w:rPr>
          <w:rFonts w:eastAsia="Noto Sans Mono CJK SC"/>
          <w:sz w:val="24"/>
          <w:szCs w:val="24"/>
          <w:lang w:bidi="hi-IN" w:eastAsia="zh-CN"/>
        </w:rPr>
        <w:t xml:space="preserve">Se realizará un estudio </w:t>
      </w:r>
      <w:r>
        <w:rPr>
          <w:rFonts w:eastAsia="Noto Sans Mono CJK SC"/>
          <w:sz w:val="24"/>
          <w:szCs w:val="24"/>
          <w:lang w:val="en-US" w:bidi="hi-IN" w:eastAsia="zh-CN"/>
        </w:rPr>
        <w:t xml:space="preserve"> descriptivo de tipo ecológico o poblacional. </w:t>
      </w:r>
      <w:r>
        <w:rPr>
          <w:sz w:val="24"/>
          <w:szCs w:val="24"/>
          <w:lang w:val="en-US"/>
        </w:rPr>
        <w:t xml:space="preserve">El universo estará conformado por todas las personas con Diabetes Mellitus tipo 2 pertenecientes al GBT I que incluye desde el CMF 1 hasta el CMF 15 del Policlínico Alcides Pino Bermúdez durante </w:t>
      </w:r>
      <w:r>
        <w:rPr>
          <w:rFonts w:eastAsia="Times New Roman"/>
          <w:sz w:val="24"/>
          <w:szCs w:val="24"/>
          <w:lang w:val="en-US" w:eastAsia="en-US"/>
        </w:rPr>
        <w:t>el periodo de julio del 2024 a enero del 2025.</w:t>
      </w:r>
    </w:p>
    <w:p>
      <w:pPr>
        <w:pStyle w:val="style0"/>
        <w:spacing w:before="60" w:after="0"/>
        <w:rPr>
          <w:sz w:val="24"/>
          <w:szCs w:val="24"/>
        </w:rPr>
      </w:pPr>
    </w:p>
    <w:p>
      <w:pPr>
        <w:pStyle w:val="style0"/>
        <w:spacing w:before="60" w:after="0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Muestra: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 xml:space="preserve">La muestra estará constituida por personas con Diabetes Mellitus tipo 2 y sin diagnóstico previo de Enfermedad Renal Crónica. </w:t>
      </w:r>
      <w:r>
        <w:rPr>
          <w:rFonts w:eastAsia="Noto Sans Mono CJK SC"/>
          <w:sz w:val="24"/>
          <w:szCs w:val="24"/>
          <w:lang w:bidi="hi-IN" w:eastAsia="zh-CN"/>
        </w:rPr>
        <w:t>Para el cálculo del tamaño de muestra se utilizará</w:t>
      </w:r>
      <w:r>
        <w:rPr>
          <w:rFonts w:eastAsia="Noto Sans Mono CJK SC"/>
          <w:sz w:val="24"/>
          <w:szCs w:val="24"/>
          <w:lang w:val="en-US" w:bidi="hi-IN" w:eastAsia="zh-CN"/>
        </w:rPr>
        <w:t xml:space="preserve"> la</w:t>
      </w:r>
      <w:r>
        <w:rPr>
          <w:rFonts w:eastAsia="Noto Sans Mono CJK SC"/>
          <w:sz w:val="24"/>
          <w:szCs w:val="24"/>
          <w:lang w:bidi="hi-IN" w:eastAsia="zh-CN"/>
        </w:rPr>
        <w:t xml:space="preserve"> fórmula para la media con la desviación estándar de los valores de creatinina de 20 personas de una muestra piloto.</w:t>
      </w:r>
      <w:r>
        <w:rPr>
          <w:rFonts w:eastAsia="Noto Sans Mono CJK SC"/>
          <w:sz w:val="24"/>
          <w:szCs w:val="24"/>
          <w:lang w:val="en-US" w:bidi="hi-IN" w:eastAsia="zh-CN"/>
        </w:rPr>
        <w:t xml:space="preserve"> </w:t>
      </w:r>
      <w:r>
        <w:rPr>
          <w:bCs/>
          <w:sz w:val="24"/>
          <w:szCs w:val="24"/>
          <w:lang w:val="en-US"/>
        </w:rPr>
        <w:t>Para la selección se utilizará un muestreo probabilístico estratificado, con estratos según edad y selección aleatoria dentro de cada estrato y afijación proporcional lo cual garantizará la representatividad en cada estrato.</w:t>
      </w:r>
    </w:p>
    <w:p>
      <w:pPr>
        <w:pStyle w:val="style0"/>
        <w:spacing w:before="60" w:after="0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Criterios de inclusió</w:t>
      </w:r>
      <w:r>
        <w:rPr>
          <w:b/>
          <w:bCs/>
          <w:sz w:val="24"/>
          <w:szCs w:val="24"/>
          <w:lang w:val="en-US"/>
        </w:rPr>
        <w:t xml:space="preserve">n y exclusión: </w:t>
      </w:r>
      <w:r>
        <w:rPr>
          <w:sz w:val="24"/>
          <w:szCs w:val="24"/>
        </w:rPr>
        <w:t>Personas adultas mayores de 18 a</w:t>
      </w:r>
      <w:r>
        <w:rPr>
          <w:rFonts w:eastAsia="Noto Sans Mono CJK SC"/>
          <w:sz w:val="24"/>
          <w:szCs w:val="24"/>
          <w:lang w:bidi="hi-IN" w:eastAsia="zh-CN"/>
        </w:rPr>
        <w:t>ños</w:t>
      </w:r>
      <w:r>
        <w:rPr>
          <w:sz w:val="24"/>
          <w:szCs w:val="24"/>
        </w:rPr>
        <w:t>, d</w:t>
      </w:r>
      <w:r>
        <w:rPr>
          <w:sz w:val="24"/>
          <w:szCs w:val="24"/>
        </w:rPr>
        <w:t xml:space="preserve">iagnóstico confirmado de 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iabetes </w:t>
      </w:r>
      <w:r>
        <w:rPr>
          <w:sz w:val="24"/>
          <w:szCs w:val="24"/>
        </w:rPr>
        <w:t>M</w:t>
      </w:r>
      <w:r>
        <w:rPr>
          <w:sz w:val="24"/>
          <w:szCs w:val="24"/>
        </w:rPr>
        <w:t>ellitus según criterios de la A</w:t>
      </w:r>
      <w:r>
        <w:rPr>
          <w:sz w:val="24"/>
          <w:szCs w:val="24"/>
          <w:lang w:val="en-US"/>
        </w:rPr>
        <w:t xml:space="preserve">sociación Americana de la Diabetes </w:t>
      </w:r>
      <w:r>
        <w:rPr>
          <w:sz w:val="24"/>
          <w:szCs w:val="24"/>
        </w:rPr>
        <w:t>(HbA1c ≥6.5% o glucemia en ayuna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sérica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en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12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meses.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Se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excluyen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n-US" w:eastAsia="es-MX"/>
        </w:rPr>
        <w:t>p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acientes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con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E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nfermedad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R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enal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C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rónica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preexistente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no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relacionada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con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diabetes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(nefropatía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glomerular)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,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kern w:val="0"/>
          <w:sz w:val="24"/>
          <w:szCs w:val="24"/>
          <w:highlight w:val="none"/>
          <w:vertAlign w:val="baseline"/>
          <w:em w:val="none"/>
          <w:lang w:val="es-US" w:eastAsia="es-MX"/>
        </w:rPr>
        <w:t>g</w:t>
      </w:r>
      <w:r>
        <w:rPr>
          <w:sz w:val="24"/>
          <w:szCs w:val="24"/>
        </w:rPr>
        <w:t>s ≥</w:t>
      </w:r>
      <w:r>
        <w:rPr>
          <w:sz w:val="24"/>
          <w:szCs w:val="24"/>
          <w:lang w:val="en-US"/>
        </w:rPr>
        <w:t>7.1 mmol/L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y d</w:t>
      </w:r>
      <w:r>
        <w:rPr>
          <w:sz w:val="24"/>
          <w:szCs w:val="24"/>
        </w:rPr>
        <w:t xml:space="preserve">isponibilidad de al menos dos mediciones de creatinina estantes </w:t>
      </w:r>
      <w:r>
        <w:rPr>
          <w:sz w:val="24"/>
          <w:szCs w:val="24"/>
        </w:rPr>
        <w:t>o pacientes con</w:t>
      </w:r>
      <w:r>
        <w:rPr>
          <w:sz w:val="24"/>
          <w:szCs w:val="24"/>
        </w:rPr>
        <w:t xml:space="preserve"> neoplasias </w:t>
      </w:r>
      <w:r>
        <w:rPr>
          <w:sz w:val="24"/>
          <w:szCs w:val="24"/>
        </w:rPr>
        <w:t>activ</w:t>
      </w:r>
      <w:r>
        <w:rPr>
          <w:sz w:val="24"/>
          <w:szCs w:val="24"/>
        </w:rPr>
        <w:t>as</w:t>
      </w:r>
      <w:r>
        <w:rPr>
          <w:sz w:val="24"/>
          <w:szCs w:val="24"/>
          <w:lang w:val="en-US"/>
        </w:rPr>
        <w:t xml:space="preserve">. </w:t>
      </w:r>
    </w:p>
    <w:p>
      <w:pPr>
        <w:pStyle w:val="style0"/>
        <w:spacing w:before="60" w:after="0"/>
        <w:rPr>
          <w:b/>
          <w:bCs/>
          <w:sz w:val="24"/>
          <w:szCs w:val="24"/>
        </w:rPr>
      </w:pPr>
    </w:p>
    <w:p>
      <w:pPr>
        <w:pStyle w:val="style0"/>
        <w:spacing w:before="60" w:after="0"/>
        <w:rPr>
          <w:color w:val="000000"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Dise</w:t>
      </w:r>
      <w:r>
        <w:rPr>
          <w:b/>
          <w:bCs/>
          <w:color w:val="000000"/>
          <w:sz w:val="24"/>
          <w:szCs w:val="24"/>
          <w:lang w:val="en-US"/>
        </w:rPr>
        <w:t>ño operacional de las variables:</w:t>
      </w:r>
      <w:r>
        <w:rPr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eastAsia="Noto Sans Mono CJK SC"/>
          <w:sz w:val="24"/>
          <w:szCs w:val="24"/>
          <w:lang w:bidi="hi-IN" w:eastAsia="zh-CN"/>
        </w:rPr>
        <w:t>Las variables del estudio incluirán la edad</w:t>
      </w:r>
      <w:r>
        <w:rPr>
          <w:rFonts w:eastAsia="Noto Sans Mono CJK SC"/>
          <w:sz w:val="24"/>
          <w:szCs w:val="24"/>
          <w:lang w:val="en-US" w:bidi="hi-IN" w:eastAsia="zh-CN"/>
        </w:rPr>
        <w:t xml:space="preserve"> (e</w:t>
      </w:r>
      <w:r>
        <w:rPr>
          <w:rFonts w:eastAsia="Noto Sans Mono CJK SC"/>
          <w:sz w:val="24"/>
          <w:szCs w:val="24"/>
          <w:lang w:bidi="hi-IN" w:eastAsia="zh-CN"/>
        </w:rPr>
        <w:t>n años cumplidos</w:t>
      </w:r>
      <w:r>
        <w:rPr>
          <w:rFonts w:eastAsia="Noto Sans Mono CJK SC"/>
          <w:sz w:val="24"/>
          <w:szCs w:val="24"/>
          <w:lang w:val="en-US" w:bidi="hi-IN" w:eastAsia="zh-CN"/>
        </w:rPr>
        <w:t>) cuantitativa continua. E</w:t>
      </w:r>
      <w:r>
        <w:rPr>
          <w:rFonts w:eastAsia="Noto Sans Mono CJK SC"/>
          <w:sz w:val="24"/>
          <w:szCs w:val="24"/>
          <w:lang w:bidi="hi-IN" w:eastAsia="zh-CN"/>
        </w:rPr>
        <w:t>l sexo</w:t>
      </w:r>
      <w:r>
        <w:rPr>
          <w:rFonts w:eastAsia="Noto Sans Mono CJK SC"/>
          <w:sz w:val="24"/>
          <w:szCs w:val="24"/>
          <w:lang w:val="en-US" w:bidi="hi-IN" w:eastAsia="zh-CN"/>
        </w:rPr>
        <w:t xml:space="preserve"> (</w:t>
      </w:r>
      <w:r>
        <w:rPr>
          <w:rFonts w:eastAsia="Noto Sans Mono CJK SC"/>
          <w:sz w:val="24"/>
          <w:szCs w:val="24"/>
          <w:lang w:bidi="hi-IN" w:eastAsia="zh-CN"/>
        </w:rPr>
        <w:t>según sexo biológico del individuo al nacer</w:t>
      </w:r>
      <w:r>
        <w:rPr>
          <w:rFonts w:eastAsia="Noto Sans Mono CJK SC"/>
          <w:sz w:val="24"/>
          <w:szCs w:val="24"/>
          <w:lang w:val="en-US" w:bidi="hi-IN" w:eastAsia="zh-CN"/>
        </w:rPr>
        <w:t xml:space="preserve">) cualitativa nominal dicotómica: masculino o femenino. El </w:t>
      </w:r>
      <w:r>
        <w:rPr>
          <w:rFonts w:eastAsia="Noto Sans Mono CJK SC"/>
          <w:sz w:val="24"/>
          <w:szCs w:val="24"/>
          <w:lang w:bidi="hi-IN" w:eastAsia="zh-CN"/>
        </w:rPr>
        <w:t>tiempo de evolución de la Diabetes Mellitus tipo 2 en años desde el diagnóstico</w:t>
      </w:r>
      <w:r>
        <w:rPr>
          <w:rFonts w:eastAsia="Noto Sans Mono CJK SC"/>
          <w:sz w:val="24"/>
          <w:szCs w:val="24"/>
          <w:lang w:val="en-US" w:bidi="hi-IN" w:eastAsia="zh-CN"/>
        </w:rPr>
        <w:t xml:space="preserve"> cuantitativa continua. Las </w:t>
      </w:r>
      <w:r>
        <w:rPr>
          <w:rFonts w:eastAsia="Noto Sans Mono CJK SC"/>
          <w:sz w:val="24"/>
          <w:szCs w:val="24"/>
          <w:lang w:bidi="hi-IN" w:eastAsia="zh-CN"/>
        </w:rPr>
        <w:t>comorbilidades más frecuentes</w:t>
      </w:r>
      <w:r>
        <w:rPr>
          <w:rFonts w:eastAsia="Noto Sans Mono CJK SC"/>
          <w:sz w:val="24"/>
          <w:szCs w:val="24"/>
          <w:lang w:val="en-US" w:bidi="hi-IN" w:eastAsia="zh-CN"/>
        </w:rPr>
        <w:t xml:space="preserve"> (Hipertensión Arterial, Hipercolesterolemia, Hipertrigliceridemia, Hipotiroidismo, Obesidad) donde se valorará la presencia de al menos una de las comorbilidades: cualitativa nominal dicotómica. El </w:t>
      </w:r>
      <w:r>
        <w:rPr>
          <w:rFonts w:eastAsia="Noto Sans Mono CJK SC"/>
          <w:sz w:val="24"/>
          <w:szCs w:val="24"/>
          <w:lang w:bidi="hi-IN" w:eastAsia="zh-CN"/>
        </w:rPr>
        <w:t>valor de creatinina sérica</w:t>
      </w:r>
      <w:r>
        <w:rPr>
          <w:rFonts w:eastAsia="Noto Sans Mono CJK SC"/>
          <w:sz w:val="24"/>
          <w:szCs w:val="24"/>
          <w:lang w:val="en-US" w:bidi="hi-IN" w:eastAsia="zh-CN"/>
        </w:rPr>
        <w:t xml:space="preserve"> (</w:t>
      </w:r>
      <w:r>
        <w:rPr>
          <w:rFonts w:eastAsia="Noto Sans Mono CJK SC"/>
          <w:sz w:val="24"/>
          <w:szCs w:val="24"/>
          <w:lang w:bidi="hi-IN" w:eastAsia="zh-CN"/>
        </w:rPr>
        <w:t>resultado en los últimos 12 meses</w:t>
      </w:r>
      <w:r>
        <w:rPr>
          <w:rFonts w:eastAsia="Noto Sans Mono CJK SC"/>
          <w:sz w:val="24"/>
          <w:szCs w:val="24"/>
          <w:lang w:val="en-US" w:bidi="hi-IN" w:eastAsia="zh-CN"/>
        </w:rPr>
        <w:t>) cuantitativa continua. L</w:t>
      </w:r>
      <w:r>
        <w:rPr>
          <w:rFonts w:eastAsia="Noto Sans Mono CJK SC"/>
          <w:sz w:val="24"/>
          <w:szCs w:val="24"/>
          <w:lang w:bidi="hi-IN" w:eastAsia="zh-CN"/>
        </w:rPr>
        <w:t>a estimación de la Tasa de Filtrado Glomerular (eGFR)</w:t>
      </w:r>
      <w:r>
        <w:rPr>
          <w:rFonts w:eastAsia="Noto Sans Mono CJK SC"/>
          <w:sz w:val="24"/>
          <w:szCs w:val="24"/>
          <w:lang w:val="en-US" w:bidi="hi-IN" w:eastAsia="zh-CN"/>
        </w:rPr>
        <w:t xml:space="preserve"> </w:t>
      </w:r>
      <w:r>
        <w:rPr>
          <w:rFonts w:eastAsia="Noto Sans Mono CJK SC"/>
          <w:sz w:val="24"/>
          <w:szCs w:val="24"/>
          <w:lang w:bidi="hi-IN" w:eastAsia="zh-CN"/>
        </w:rPr>
        <w:t>que se calculará mediante fórmula CKD-EPI (mL/min/1.73 m²)</w:t>
      </w:r>
      <w:r>
        <w:rPr>
          <w:rFonts w:eastAsia="Noto Sans Mono CJK SC"/>
          <w:sz w:val="24"/>
          <w:szCs w:val="24"/>
          <w:lang w:val="en-US" w:bidi="hi-IN" w:eastAsia="zh-CN"/>
        </w:rPr>
        <w:t xml:space="preserve"> y la medición de proteínas en la orina mediante Microalbuminuria o Proteína de 24 horas cuantitativa continúa. L</w:t>
      </w:r>
      <w:r>
        <w:rPr>
          <w:rFonts w:eastAsia="Noto Sans Mono CJK SC"/>
          <w:sz w:val="24"/>
          <w:szCs w:val="24"/>
          <w:lang w:bidi="hi-IN" w:eastAsia="zh-CN"/>
        </w:rPr>
        <w:t>a presencia o no de ERC</w:t>
      </w:r>
      <w:r>
        <w:rPr>
          <w:rFonts w:eastAsia="Noto Sans Mono CJK SC"/>
          <w:sz w:val="24"/>
          <w:szCs w:val="24"/>
          <w:lang w:val="en-US" w:bidi="hi-IN" w:eastAsia="zh-CN"/>
        </w:rPr>
        <w:t xml:space="preserve"> (si o no) </w:t>
      </w:r>
      <w:r>
        <w:rPr>
          <w:rFonts w:eastAsia="Noto Sans Mono CJK SC"/>
          <w:sz w:val="24"/>
          <w:szCs w:val="24"/>
          <w:lang w:bidi="hi-IN" w:eastAsia="zh-CN"/>
        </w:rPr>
        <w:t>para lo que se utilizarán criterios diagnósticos según KDIGO</w:t>
      </w:r>
      <w:r>
        <w:rPr>
          <w:rFonts w:eastAsia="Noto Sans Mono CJK SC"/>
          <w:sz w:val="24"/>
          <w:szCs w:val="24"/>
          <w:lang w:val="en-US" w:bidi="hi-IN" w:eastAsia="zh-CN"/>
        </w:rPr>
        <w:t xml:space="preserve"> </w:t>
      </w:r>
      <w:r>
        <w:rPr>
          <w:rFonts w:eastAsia="Noto Sans Mono CJK SC"/>
          <w:sz w:val="24"/>
          <w:szCs w:val="24"/>
          <w:lang w:bidi="hi-IN" w:eastAsia="zh-CN"/>
        </w:rPr>
        <w:t>eGFR &lt;60 mL/min/1.73 m² por &gt;3 meses.</w:t>
      </w:r>
    </w:p>
    <w:p>
      <w:pPr>
        <w:pStyle w:val="style0"/>
        <w:spacing w:before="60" w:after="0"/>
        <w:rPr>
          <w:color w:val="000000"/>
          <w:sz w:val="24"/>
          <w:szCs w:val="24"/>
          <w:lang w:val="en-US"/>
        </w:rPr>
      </w:pPr>
    </w:p>
    <w:p>
      <w:pPr>
        <w:pStyle w:val="style0"/>
        <w:spacing w:before="60" w:after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Para la obtención de los datos </w:t>
      </w:r>
      <w:r>
        <w:rPr>
          <w:sz w:val="24"/>
          <w:szCs w:val="24"/>
          <w:lang w:val="en-US"/>
        </w:rPr>
        <w:t>serán revisadas las Historias Clínicas Individuales y se elaborará una base de datos por parte de los autores de la investigación. Se realizará un a</w:t>
      </w:r>
      <w:r>
        <w:rPr>
          <w:bCs/>
          <w:sz w:val="24"/>
          <w:szCs w:val="24"/>
          <w:lang w:val="en-US"/>
        </w:rPr>
        <w:t>nálisis estadístico para lo cual se utilizarán medidas de tendencia central (media, mediana) y dispersión (desviación estándar, rango) para variables cuantitativas, así como frecuencias y porcentajes para variables categóricas. S</w:t>
      </w:r>
      <w:r>
        <w:rPr>
          <w:bCs/>
          <w:sz w:val="24"/>
          <w:szCs w:val="24"/>
        </w:rPr>
        <w:t>e tendrán en cuenta</w:t>
      </w: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</w:rPr>
        <w:t xml:space="preserve">la </w:t>
      </w:r>
      <w:r>
        <w:rPr>
          <w:bCs/>
          <w:sz w:val="24"/>
          <w:szCs w:val="24"/>
        </w:rPr>
        <w:t xml:space="preserve">World Medical Association Declaration of Helsinki </w:t>
      </w:r>
      <w:r>
        <w:rPr>
          <w:bCs/>
          <w:sz w:val="24"/>
          <w:szCs w:val="24"/>
        </w:rPr>
        <w:t>y la Guía de OMS para los Comité de Ética de las Investigaciones</w:t>
      </w:r>
      <w:r>
        <w:rPr>
          <w:bCs/>
          <w:sz w:val="24"/>
          <w:szCs w:val="24"/>
          <w:lang w:val="en-US"/>
        </w:rPr>
        <w:t>.</w:t>
      </w:r>
    </w:p>
    <w:p>
      <w:pPr>
        <w:pStyle w:val="style0"/>
        <w:widowControl w:val="false"/>
        <w:contextualSpacing/>
        <w:rPr>
          <w:bCs/>
          <w:color w:val="000000"/>
          <w:sz w:val="24"/>
          <w:szCs w:val="24"/>
        </w:rPr>
      </w:pPr>
    </w:p>
    <w:p>
      <w:pPr>
        <w:pStyle w:val="style0"/>
        <w:widowControl w:val="false"/>
        <w:contextualSpacing/>
        <w:rPr>
          <w:bCs/>
          <w:color w:val="000000"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CONCLUSIONES</w:t>
      </w:r>
    </w:p>
    <w:p>
      <w:pPr>
        <w:pStyle w:val="style0"/>
        <w:widowControl w:val="false"/>
        <w:contextualSpacing/>
        <w:rPr>
          <w:color w:val="000000"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  <w:r>
        <w:rPr>
          <w:sz w:val="24"/>
          <w:szCs w:val="24"/>
          <w:lang w:val="en-US"/>
        </w:rPr>
        <w:t xml:space="preserve">Permitirá estimar la prevalencia de Enfermedad Renal Crónica en personas con Diabetes Mellitus tipo 2 en el Policlínico Alcides Pino Bermúdez y se tendrá en cuenta la edad, sexo, años de evolución de la enfermedad y comorbilidades más frecuentes, lo que contribuirá a implementar estrategias terapéuticas con el fin de evitar el progreso de la enfermedad. </w:t>
      </w: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</w:p>
    <w:p>
      <w:pPr>
        <w:pStyle w:val="style0"/>
        <w:widowControl w:val="false"/>
        <w:contextualSpacing/>
        <w:rPr>
          <w:sz w:val="24"/>
          <w:szCs w:val="24"/>
        </w:rPr>
      </w:pP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REFERENCIAS BIBLIOGRÁFICAS</w:t>
      </w:r>
    </w:p>
    <w:p>
      <w:pPr>
        <w:pStyle w:val="style0"/>
        <w:widowControl w:val="false"/>
        <w:contextualSpacing/>
        <w:rPr>
          <w:b/>
          <w:bCs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lineRule="auto" w:line="36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Zingano CP, Escott GM, Rocha BM, </w:t>
      </w:r>
      <w:r>
        <w:rPr>
          <w:rFonts w:ascii="Arial" w:cs="Arial" w:hAnsi="Arial"/>
          <w:sz w:val="24"/>
          <w:szCs w:val="24"/>
          <w:lang w:val="en-US"/>
        </w:rPr>
        <w:t>Porgere</w:t>
      </w:r>
      <w:r>
        <w:rPr>
          <w:rFonts w:ascii="Arial" w:cs="Arial" w:hAnsi="Arial"/>
          <w:sz w:val="24"/>
          <w:szCs w:val="24"/>
          <w:lang w:val="en-US"/>
        </w:rPr>
        <w:t xml:space="preserve"> IF, Moro CC, </w:t>
      </w:r>
      <w:r>
        <w:rPr>
          <w:rFonts w:ascii="Arial" w:cs="Arial" w:hAnsi="Arial"/>
          <w:sz w:val="24"/>
          <w:szCs w:val="24"/>
          <w:lang w:val="en-US"/>
        </w:rPr>
        <w:t>Delanaye</w:t>
      </w:r>
      <w:r>
        <w:rPr>
          <w:rFonts w:ascii="Arial" w:cs="Arial" w:hAnsi="Arial"/>
          <w:sz w:val="24"/>
          <w:szCs w:val="24"/>
          <w:lang w:val="en-US"/>
        </w:rPr>
        <w:t xml:space="preserve"> P, et al. 20</w:t>
      </w:r>
      <w:r>
        <w:rPr>
          <w:rFonts w:ascii="Arial" w:cs="Arial" w:hAnsi="Arial"/>
          <w:sz w:val="24"/>
          <w:szCs w:val="24"/>
          <w:lang w:val="en-US"/>
        </w:rPr>
        <w:t>20.</w:t>
      </w:r>
      <w:r>
        <w:rPr>
          <w:rFonts w:ascii="Arial" w:cs="Arial" w:hAnsi="Arial"/>
          <w:sz w:val="24"/>
          <w:szCs w:val="24"/>
          <w:lang w:val="en-US"/>
        </w:rPr>
        <w:t xml:space="preserve"> CKD-EPI glomerular filtration rate estimation in Black individuals outside the United States: a systematic review and meta-analysis. Clin Kidney J. </w:t>
      </w:r>
      <w:r>
        <w:rPr>
          <w:rFonts w:ascii="Arial" w:cs="Arial" w:hAnsi="Arial"/>
          <w:sz w:val="24"/>
          <w:szCs w:val="24"/>
          <w:lang w:val="en-US"/>
        </w:rPr>
        <w:t>may</w:t>
      </w:r>
      <w:r>
        <w:rPr>
          <w:rFonts w:ascii="Arial" w:cs="Arial" w:hAnsi="Arial"/>
          <w:sz w:val="24"/>
          <w:szCs w:val="24"/>
          <w:lang w:val="en-US"/>
        </w:rPr>
        <w:t>o de 202</w:t>
      </w:r>
      <w:r>
        <w:rPr>
          <w:rFonts w:ascii="Arial" w:cs="Arial" w:hAnsi="Arial"/>
          <w:sz w:val="24"/>
          <w:szCs w:val="24"/>
          <w:lang w:val="en-US"/>
        </w:rPr>
        <w:t>5</w:t>
      </w:r>
      <w:r>
        <w:rPr>
          <w:rFonts w:ascii="Arial" w:cs="Arial" w:hAnsi="Arial"/>
          <w:sz w:val="24"/>
          <w:szCs w:val="24"/>
          <w:lang w:val="en-US"/>
        </w:rPr>
        <w:t xml:space="preserve">;16(2):322-30. 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Arial" w:cs="Arial" w:hAnsi="Arial"/>
          <w:sz w:val="24"/>
          <w:szCs w:val="24"/>
          <w:lang w:val="es-US"/>
        </w:rPr>
      </w:pPr>
      <w:r>
        <w:rPr>
          <w:rFonts w:ascii="Arial" w:cs="Arial" w:hAnsi="Arial"/>
          <w:sz w:val="24"/>
          <w:szCs w:val="24"/>
          <w:lang w:val="en-US"/>
        </w:rPr>
        <w:t xml:space="preserve">Inker LA, Couture SJ, </w:t>
      </w:r>
      <w:r>
        <w:rPr>
          <w:rFonts w:ascii="Arial" w:cs="Arial" w:hAnsi="Arial"/>
          <w:sz w:val="24"/>
          <w:szCs w:val="24"/>
          <w:lang w:val="en-US"/>
        </w:rPr>
        <w:t>Tighiouart</w:t>
      </w:r>
      <w:r>
        <w:rPr>
          <w:rFonts w:ascii="Arial" w:cs="Arial" w:hAnsi="Arial"/>
          <w:sz w:val="24"/>
          <w:szCs w:val="24"/>
          <w:lang w:val="en-US"/>
        </w:rPr>
        <w:t xml:space="preserve"> H, Abraham AG, Beck GJ, Feldman HI, et al. A New Panel-Estimated GFR, Including </w:t>
      </w:r>
      <w:r>
        <w:rPr>
          <w:rFonts w:ascii="Arial" w:cs="Arial" w:hAnsi="Arial"/>
          <w:sz w:val="24"/>
          <w:szCs w:val="24"/>
          <w:lang w:val="es-US"/>
        </w:rPr>
        <w:t>β</w:t>
      </w:r>
      <w:r>
        <w:rPr>
          <w:rFonts w:ascii="Arial" w:cs="Arial" w:hAnsi="Arial"/>
          <w:sz w:val="24"/>
          <w:szCs w:val="24"/>
          <w:lang w:val="en-US"/>
        </w:rPr>
        <w:t>(</w:t>
      </w:r>
      <w:r>
        <w:rPr>
          <w:rFonts w:ascii="Arial" w:cs="Arial" w:hAnsi="Arial"/>
          <w:sz w:val="24"/>
          <w:szCs w:val="24"/>
          <w:lang w:val="en-US"/>
        </w:rPr>
        <w:t>2)-</w:t>
      </w:r>
      <w:r>
        <w:rPr>
          <w:rFonts w:ascii="Arial" w:cs="Arial" w:hAnsi="Arial"/>
          <w:sz w:val="24"/>
          <w:szCs w:val="24"/>
          <w:lang w:val="en-US"/>
        </w:rPr>
        <w:t>Microglobulin</w:t>
      </w:r>
      <w:r>
        <w:rPr>
          <w:rFonts w:ascii="Arial" w:cs="Arial" w:hAnsi="Arial"/>
          <w:sz w:val="24"/>
          <w:szCs w:val="24"/>
          <w:lang w:val="en-US"/>
        </w:rPr>
        <w:t xml:space="preserve"> and </w:t>
      </w:r>
      <w:r>
        <w:rPr>
          <w:rFonts w:ascii="Arial" w:cs="Arial" w:hAnsi="Arial"/>
          <w:sz w:val="24"/>
          <w:szCs w:val="24"/>
          <w:lang w:val="es-US"/>
        </w:rPr>
        <w:t>β</w:t>
      </w:r>
      <w:r>
        <w:rPr>
          <w:rFonts w:ascii="Arial" w:cs="Arial" w:hAnsi="Arial"/>
          <w:sz w:val="24"/>
          <w:szCs w:val="24"/>
          <w:lang w:val="en-US"/>
        </w:rPr>
        <w:t xml:space="preserve">-Trace Protein and Not Including Race, Developed in a Diverse Population. </w:t>
      </w:r>
      <w:r>
        <w:rPr>
          <w:rFonts w:ascii="Arial" w:cs="Arial" w:hAnsi="Arial"/>
          <w:sz w:val="24"/>
          <w:szCs w:val="24"/>
          <w:lang w:val="es-US"/>
        </w:rPr>
        <w:t xml:space="preserve">Am J Kidney </w:t>
      </w:r>
      <w:r>
        <w:rPr>
          <w:rFonts w:ascii="Arial" w:cs="Arial" w:hAnsi="Arial"/>
          <w:sz w:val="24"/>
          <w:szCs w:val="24"/>
          <w:lang w:val="es-US"/>
        </w:rPr>
        <w:t>Dis</w:t>
      </w:r>
      <w:r>
        <w:rPr>
          <w:rFonts w:ascii="Arial" w:cs="Arial" w:hAnsi="Arial"/>
          <w:sz w:val="24"/>
          <w:szCs w:val="24"/>
          <w:lang w:val="es-US"/>
        </w:rPr>
        <w:t xml:space="preserve">. mayo de 2021;77(5):673-683.e1. 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Roy L, </w:t>
      </w:r>
      <w:r>
        <w:rPr>
          <w:rFonts w:ascii="Arial" w:cs="Arial" w:hAnsi="Arial"/>
          <w:sz w:val="24"/>
          <w:szCs w:val="24"/>
          <w:lang w:val="en-US"/>
        </w:rPr>
        <w:t>Zappitelli</w:t>
      </w:r>
      <w:r>
        <w:rPr>
          <w:rFonts w:ascii="Arial" w:cs="Arial" w:hAnsi="Arial"/>
          <w:sz w:val="24"/>
          <w:szCs w:val="24"/>
          <w:lang w:val="en-US"/>
        </w:rPr>
        <w:t xml:space="preserve"> M, White-</w:t>
      </w:r>
      <w:r>
        <w:rPr>
          <w:rFonts w:ascii="Arial" w:cs="Arial" w:hAnsi="Arial"/>
          <w:sz w:val="24"/>
          <w:szCs w:val="24"/>
          <w:lang w:val="en-US"/>
        </w:rPr>
        <w:t>Guay</w:t>
      </w:r>
      <w:r>
        <w:rPr>
          <w:rFonts w:ascii="Arial" w:cs="Arial" w:hAnsi="Arial"/>
          <w:sz w:val="24"/>
          <w:szCs w:val="24"/>
          <w:lang w:val="en-US"/>
        </w:rPr>
        <w:t xml:space="preserve"> B, Lafrance JP, </w:t>
      </w:r>
      <w:r>
        <w:rPr>
          <w:rFonts w:ascii="Arial" w:cs="Arial" w:hAnsi="Arial"/>
          <w:sz w:val="24"/>
          <w:szCs w:val="24"/>
          <w:lang w:val="en-US"/>
        </w:rPr>
        <w:t>Dorais</w:t>
      </w:r>
      <w:r>
        <w:rPr>
          <w:rFonts w:ascii="Arial" w:cs="Arial" w:hAnsi="Arial"/>
          <w:sz w:val="24"/>
          <w:szCs w:val="24"/>
          <w:lang w:val="en-US"/>
        </w:rPr>
        <w:t xml:space="preserve"> M, Perreault S. Agreement Between Administrative Database and Medical Chart Review for the Prediction of Chronic Kidney Disease G category. </w:t>
      </w:r>
      <w:r>
        <w:rPr>
          <w:rFonts w:ascii="Arial" w:cs="Arial" w:hAnsi="Arial"/>
          <w:sz w:val="24"/>
          <w:szCs w:val="24"/>
          <w:lang w:val="en-US"/>
        </w:rPr>
        <w:t xml:space="preserve">Can J Kidney Health Dis. </w:t>
      </w:r>
      <w:r>
        <w:rPr>
          <w:rFonts w:ascii="Arial" w:cs="Arial" w:hAnsi="Arial"/>
          <w:sz w:val="24"/>
          <w:szCs w:val="24"/>
          <w:lang w:val="en-US"/>
        </w:rPr>
        <w:t>2020;7:2054358120959908</w:t>
      </w:r>
      <w:r>
        <w:rPr>
          <w:rFonts w:ascii="Arial" w:cs="Arial" w:hAnsi="Arial"/>
          <w:sz w:val="24"/>
          <w:szCs w:val="24"/>
          <w:lang w:val="en-US"/>
        </w:rPr>
        <w:t xml:space="preserve">. 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Arial" w:cs="Arial" w:hAnsi="Arial"/>
          <w:sz w:val="24"/>
          <w:szCs w:val="24"/>
          <w:lang w:val="es-US"/>
        </w:rPr>
      </w:pPr>
      <w:r>
        <w:rPr>
          <w:rFonts w:ascii="Arial" w:cs="Arial" w:hAnsi="Arial"/>
          <w:sz w:val="24"/>
          <w:szCs w:val="24"/>
          <w:lang w:val="fr-FR"/>
        </w:rPr>
        <w:t>Balasch</w:t>
      </w:r>
      <w:r>
        <w:rPr>
          <w:rFonts w:ascii="Arial" w:cs="Arial" w:hAnsi="Arial"/>
          <w:sz w:val="24"/>
          <w:szCs w:val="24"/>
          <w:lang w:val="fr-FR"/>
        </w:rPr>
        <w:t xml:space="preserve"> MM, </w:t>
      </w:r>
      <w:r>
        <w:rPr>
          <w:rFonts w:ascii="Arial" w:cs="Arial" w:hAnsi="Arial"/>
          <w:sz w:val="24"/>
          <w:szCs w:val="24"/>
          <w:lang w:val="fr-FR"/>
        </w:rPr>
        <w:t>Roumelioti</w:t>
      </w:r>
      <w:r>
        <w:rPr>
          <w:rFonts w:ascii="Arial" w:cs="Arial" w:hAnsi="Arial"/>
          <w:sz w:val="24"/>
          <w:szCs w:val="24"/>
          <w:lang w:val="fr-FR"/>
        </w:rPr>
        <w:t xml:space="preserve"> ME, </w:t>
      </w:r>
      <w:r>
        <w:rPr>
          <w:rFonts w:ascii="Arial" w:cs="Arial" w:hAnsi="Arial"/>
          <w:sz w:val="24"/>
          <w:szCs w:val="24"/>
          <w:lang w:val="fr-FR"/>
        </w:rPr>
        <w:t>Argyropoulos</w:t>
      </w:r>
      <w:r>
        <w:rPr>
          <w:rFonts w:ascii="Arial" w:cs="Arial" w:hAnsi="Arial"/>
          <w:sz w:val="24"/>
          <w:szCs w:val="24"/>
          <w:lang w:val="fr-FR"/>
        </w:rPr>
        <w:t xml:space="preserve"> CP. </w:t>
      </w:r>
      <w:r>
        <w:rPr>
          <w:rFonts w:ascii="Arial" w:cs="Arial" w:hAnsi="Arial"/>
          <w:sz w:val="24"/>
          <w:szCs w:val="24"/>
          <w:lang w:val="en-US"/>
        </w:rPr>
        <w:t xml:space="preserve">Comparison of Glomerular Filtration Rate Equations in a Rural New Mexico Cohort: Results from the COMPASS Study. </w:t>
      </w:r>
      <w:r>
        <w:rPr>
          <w:rFonts w:ascii="Arial" w:cs="Arial" w:hAnsi="Arial"/>
          <w:sz w:val="24"/>
          <w:szCs w:val="24"/>
          <w:lang w:val="en-US"/>
        </w:rPr>
        <w:t>medRxiv</w:t>
      </w:r>
      <w:r>
        <w:rPr>
          <w:rFonts w:ascii="Arial" w:cs="Arial" w:hAnsi="Arial"/>
          <w:sz w:val="24"/>
          <w:szCs w:val="24"/>
          <w:lang w:val="en-US"/>
        </w:rPr>
        <w:t xml:space="preserve">: the preprint server for health sciences. </w:t>
      </w:r>
      <w:r>
        <w:rPr>
          <w:rFonts w:ascii="Arial" w:cs="Arial" w:hAnsi="Arial"/>
          <w:sz w:val="24"/>
          <w:szCs w:val="24"/>
          <w:lang w:val="es-US"/>
        </w:rPr>
        <w:t>United</w:t>
      </w:r>
      <w:r>
        <w:rPr>
          <w:rFonts w:ascii="Arial" w:cs="Arial" w:hAnsi="Arial"/>
          <w:sz w:val="24"/>
          <w:szCs w:val="24"/>
          <w:lang w:val="es-US"/>
        </w:rPr>
        <w:t xml:space="preserve"> </w:t>
      </w:r>
      <w:r>
        <w:rPr>
          <w:rFonts w:ascii="Arial" w:cs="Arial" w:hAnsi="Arial"/>
          <w:sz w:val="24"/>
          <w:szCs w:val="24"/>
          <w:lang w:val="es-US"/>
        </w:rPr>
        <w:t>States</w:t>
      </w:r>
      <w:r>
        <w:rPr>
          <w:rFonts w:ascii="Arial" w:cs="Arial" w:hAnsi="Arial"/>
          <w:sz w:val="24"/>
          <w:szCs w:val="24"/>
          <w:lang w:val="es-US"/>
        </w:rPr>
        <w:t xml:space="preserve">; 2024. p. 24.06.10.24308724. 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Molla MD, </w:t>
      </w:r>
      <w:r>
        <w:rPr>
          <w:rFonts w:ascii="Arial" w:cs="Arial" w:hAnsi="Arial"/>
          <w:sz w:val="24"/>
          <w:szCs w:val="24"/>
          <w:lang w:val="en-US"/>
        </w:rPr>
        <w:t>Degef</w:t>
      </w:r>
      <w:r>
        <w:rPr>
          <w:rFonts w:ascii="Arial" w:cs="Arial" w:hAnsi="Arial"/>
          <w:sz w:val="24"/>
          <w:szCs w:val="24"/>
          <w:lang w:val="en-US"/>
        </w:rPr>
        <w:t xml:space="preserve"> M, Bekele A, </w:t>
      </w:r>
      <w:r>
        <w:rPr>
          <w:rFonts w:ascii="Arial" w:cs="Arial" w:hAnsi="Arial"/>
          <w:sz w:val="24"/>
          <w:szCs w:val="24"/>
          <w:lang w:val="en-US"/>
        </w:rPr>
        <w:t>Geto</w:t>
      </w:r>
      <w:r>
        <w:rPr>
          <w:rFonts w:ascii="Arial" w:cs="Arial" w:hAnsi="Arial"/>
          <w:sz w:val="24"/>
          <w:szCs w:val="24"/>
          <w:lang w:val="en-US"/>
        </w:rPr>
        <w:t xml:space="preserve"> Z, Challa F, </w:t>
      </w:r>
      <w:r>
        <w:rPr>
          <w:rFonts w:ascii="Arial" w:cs="Arial" w:hAnsi="Arial"/>
          <w:sz w:val="24"/>
          <w:szCs w:val="24"/>
          <w:lang w:val="en-US"/>
        </w:rPr>
        <w:t>Lejisa</w:t>
      </w:r>
      <w:r>
        <w:rPr>
          <w:rFonts w:ascii="Arial" w:cs="Arial" w:hAnsi="Arial"/>
          <w:sz w:val="24"/>
          <w:szCs w:val="24"/>
          <w:lang w:val="en-US"/>
        </w:rPr>
        <w:t xml:space="preserve"> T, et al. Assessment of serum electrolytes and kidney function test for screening of chronic kidney disease among Ethiopian Public Health Institute staff members, Addis Ababa, Ethiopia. BMC Nephrol. 2020;21(1):494.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Mantovani A, Lunardi G, </w:t>
      </w:r>
      <w:r>
        <w:rPr>
          <w:rFonts w:ascii="Arial" w:cs="Arial" w:hAnsi="Arial"/>
          <w:sz w:val="24"/>
          <w:szCs w:val="24"/>
          <w:lang w:val="en-US"/>
        </w:rPr>
        <w:t>Bonapace</w:t>
      </w:r>
      <w:r>
        <w:rPr>
          <w:rFonts w:ascii="Arial" w:cs="Arial" w:hAnsi="Arial"/>
          <w:sz w:val="24"/>
          <w:szCs w:val="24"/>
          <w:lang w:val="en-US"/>
        </w:rPr>
        <w:t xml:space="preserve"> S, </w:t>
      </w:r>
      <w:r>
        <w:rPr>
          <w:rFonts w:ascii="Arial" w:cs="Arial" w:hAnsi="Arial"/>
          <w:sz w:val="24"/>
          <w:szCs w:val="24"/>
          <w:lang w:val="en-US"/>
        </w:rPr>
        <w:t>Dugo</w:t>
      </w:r>
      <w:r>
        <w:rPr>
          <w:rFonts w:ascii="Arial" w:cs="Arial" w:hAnsi="Arial"/>
          <w:sz w:val="24"/>
          <w:szCs w:val="24"/>
          <w:lang w:val="en-US"/>
        </w:rPr>
        <w:t xml:space="preserve"> C, </w:t>
      </w:r>
      <w:r>
        <w:rPr>
          <w:rFonts w:ascii="Arial" w:cs="Arial" w:hAnsi="Arial"/>
          <w:sz w:val="24"/>
          <w:szCs w:val="24"/>
          <w:lang w:val="en-US"/>
        </w:rPr>
        <w:t>Altomari</w:t>
      </w:r>
      <w:r>
        <w:rPr>
          <w:rFonts w:ascii="Arial" w:cs="Arial" w:hAnsi="Arial"/>
          <w:sz w:val="24"/>
          <w:szCs w:val="24"/>
          <w:lang w:val="en-US"/>
        </w:rPr>
        <w:t xml:space="preserve"> A, </w:t>
      </w:r>
      <w:r>
        <w:rPr>
          <w:rFonts w:ascii="Arial" w:cs="Arial" w:hAnsi="Arial"/>
          <w:sz w:val="24"/>
          <w:szCs w:val="24"/>
          <w:lang w:val="en-US"/>
        </w:rPr>
        <w:t>Molon</w:t>
      </w:r>
      <w:r>
        <w:rPr>
          <w:rFonts w:ascii="Arial" w:cs="Arial" w:hAnsi="Arial"/>
          <w:sz w:val="24"/>
          <w:szCs w:val="24"/>
          <w:lang w:val="en-US"/>
        </w:rPr>
        <w:t xml:space="preserve"> G, et al. Association between increased plasma ceramides and chronic kidney disease in patients with and without ischemic heart disease. Diabetes Metab.2021;47(1):101152.</w:t>
      </w:r>
    </w:p>
    <w:p>
      <w:pPr>
        <w:pStyle w:val="style0"/>
        <w:tabs>
          <w:tab w:val="left" w:leader="none" w:pos="1080"/>
        </w:tabs>
        <w:spacing w:after="0"/>
        <w:rPr>
          <w:b/>
          <w:bCs/>
          <w:color w:val="000000"/>
          <w:sz w:val="24"/>
          <w:szCs w:val="24"/>
        </w:rPr>
      </w:pPr>
    </w:p>
    <w:p>
      <w:pPr>
        <w:pStyle w:val="style0"/>
        <w:tabs>
          <w:tab w:val="left" w:leader="none" w:pos="1080"/>
        </w:tabs>
        <w:spacing w:after="0"/>
        <w:rPr>
          <w:b/>
          <w:bCs/>
          <w:color w:val="000000"/>
          <w:sz w:val="24"/>
          <w:szCs w:val="24"/>
        </w:rPr>
      </w:pPr>
    </w:p>
    <w:p>
      <w:pPr>
        <w:pStyle w:val="style0"/>
        <w:tabs>
          <w:tab w:val="left" w:leader="none" w:pos="1080"/>
        </w:tabs>
        <w:spacing w:after="0"/>
        <w:rPr>
          <w:b/>
          <w:bCs/>
          <w:color w:val="000000"/>
          <w:sz w:val="24"/>
          <w:szCs w:val="24"/>
        </w:rPr>
      </w:pPr>
    </w:p>
    <w:p>
      <w:pPr>
        <w:pStyle w:val="style0"/>
        <w:tabs>
          <w:tab w:val="left" w:leader="none" w:pos="1080"/>
        </w:tabs>
        <w:spacing w:after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>
      <w:pPr>
        <w:pStyle w:val="style0"/>
        <w:spacing w:after="0"/>
        <w:rPr>
          <w:sz w:val="24"/>
          <w:szCs w:val="24"/>
          <w:lang w:val="es-MX"/>
        </w:rPr>
      </w:pP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Times New Roman"/>
    <w:panose1 w:val="00000000000000000000"/>
    <w:charset w:val="00"/>
    <w:family w:val="roman"/>
    <w:pitch w:val="variable"/>
    <w:sig w:usb0="20007A87" w:usb1="80000000" w:usb2="00000008" w:usb3="00000000" w:csb0="000001FF" w:csb1="00000000"/>
  </w:font>
  <w:font w:name="Noto Sans Mono CJK SC">
    <w:altName w:val="Times New Roman"/>
    <w:panose1 w:val="00000000000000000000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8482771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20F24E98"/>
    <w:lvl w:ilvl="0" w:tplc="591AC1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140" w:hanging="360"/>
      </w:pPr>
    </w:lvl>
    <w:lvl w:ilvl="2" w:tplc="540A001B" w:tentative="1">
      <w:start w:val="1"/>
      <w:numFmt w:val="lowerRoman"/>
      <w:lvlText w:val="%3."/>
      <w:lvlJc w:val="right"/>
      <w:pPr>
        <w:ind w:left="1860" w:hanging="180"/>
      </w:pPr>
    </w:lvl>
    <w:lvl w:ilvl="3" w:tplc="540A000F" w:tentative="1">
      <w:start w:val="1"/>
      <w:numFmt w:val="decimal"/>
      <w:lvlText w:val="%4."/>
      <w:lvlJc w:val="left"/>
      <w:pPr>
        <w:ind w:left="2580" w:hanging="360"/>
      </w:pPr>
    </w:lvl>
    <w:lvl w:ilvl="4" w:tplc="540A0019" w:tentative="1">
      <w:start w:val="1"/>
      <w:numFmt w:val="lowerLetter"/>
      <w:lvlText w:val="%5."/>
      <w:lvlJc w:val="left"/>
      <w:pPr>
        <w:ind w:left="3300" w:hanging="360"/>
      </w:pPr>
    </w:lvl>
    <w:lvl w:ilvl="5" w:tplc="540A001B" w:tentative="1">
      <w:start w:val="1"/>
      <w:numFmt w:val="lowerRoman"/>
      <w:lvlText w:val="%6."/>
      <w:lvlJc w:val="right"/>
      <w:pPr>
        <w:ind w:left="4020" w:hanging="180"/>
      </w:pPr>
    </w:lvl>
    <w:lvl w:ilvl="6" w:tplc="540A000F" w:tentative="1">
      <w:start w:val="1"/>
      <w:numFmt w:val="decimal"/>
      <w:lvlText w:val="%7."/>
      <w:lvlJc w:val="left"/>
      <w:pPr>
        <w:ind w:left="4740" w:hanging="360"/>
      </w:pPr>
    </w:lvl>
    <w:lvl w:ilvl="7" w:tplc="540A0019" w:tentative="1">
      <w:start w:val="1"/>
      <w:numFmt w:val="lowerLetter"/>
      <w:lvlText w:val="%8."/>
      <w:lvlJc w:val="left"/>
      <w:pPr>
        <w:ind w:left="5460" w:hanging="360"/>
      </w:pPr>
    </w:lvl>
    <w:lvl w:ilvl="8" w:tplc="5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02"/>
    <w:multiLevelType w:val="singleLevel"/>
    <w:tmpl w:val="010B3CDD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12" w:lineRule="auto" w:line="360"/>
      <w:jc w:val="both"/>
    </w:pPr>
    <w:rPr>
      <w:rFonts w:ascii="Arial" w:cs="Arial" w:eastAsia="Arial" w:hAnsi="Arial"/>
      <w:kern w:val="0"/>
      <w:lang w:val="es-US" w:eastAsia="es-MX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spacing w:before="160" w:after="80" w:lineRule="auto" w:line="278"/>
      <w:jc w:val="left"/>
      <w:outlineLvl w:val="1"/>
    </w:pPr>
    <w:rPr>
      <w:rFonts w:ascii="Aptos Display" w:cs="SimSun" w:eastAsia="SimSun" w:hAnsi="Aptos Display"/>
      <w:color w:val="0f4761"/>
      <w:kern w:val="2"/>
      <w:sz w:val="32"/>
      <w:szCs w:val="32"/>
      <w:lang w:eastAsia="en-US"/>
      <w14:ligatures xmlns:w14="http://schemas.microsoft.com/office/word/2010/wordml" w14:val="standardContextual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40" w:after="0"/>
      <w:outlineLvl w:val="4"/>
    </w:pPr>
    <w:rPr>
      <w:rFonts w:ascii="Calibri Light" w:cs="宋体" w:eastAsia="宋体" w:hAnsi="Calibri Light"/>
      <w:color w:val="2f549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paragraph" w:styleId="style19">
    <w:name w:val="toc 1"/>
    <w:basedOn w:val="style0"/>
    <w:next w:val="style0"/>
    <w:uiPriority w:val="39"/>
    <w:pPr>
      <w:spacing w:after="100"/>
    </w:pPr>
    <w:rPr/>
  </w:style>
  <w:style w:type="paragraph" w:styleId="style20">
    <w:name w:val="toc 2"/>
    <w:basedOn w:val="style0"/>
    <w:next w:val="style0"/>
    <w:uiPriority w:val="39"/>
    <w:pPr>
      <w:spacing w:after="100"/>
      <w:ind w:left="220"/>
    </w:pPr>
    <w:rPr/>
  </w:style>
  <w:style w:type="character" w:customStyle="1" w:styleId="style4097">
    <w:name w:val="Título 2 Car"/>
    <w:basedOn w:val="style65"/>
    <w:next w:val="style4097"/>
    <w:link w:val="style2"/>
    <w:uiPriority w:val="9"/>
    <w:rPr>
      <w:rFonts w:ascii="Aptos Display" w:cs="SimSun" w:eastAsia="SimSun" w:hAnsi="Aptos Display"/>
      <w:color w:val="0f4761"/>
      <w:sz w:val="32"/>
      <w:szCs w:val="32"/>
      <w:lang w:val="es-US"/>
    </w:rPr>
  </w:style>
  <w:style w:type="paragraph" w:customStyle="1" w:styleId="style4098">
    <w:name w:val="Preformatted Text"/>
    <w:basedOn w:val="style0"/>
    <w:next w:val="style4098"/>
    <w:qFormat/>
    <w:pPr>
      <w:widowControl w:val="false"/>
      <w:suppressAutoHyphens/>
      <w:spacing w:after="0" w:lineRule="auto" w:line="240"/>
    </w:pPr>
    <w:rPr>
      <w:rFonts w:ascii="Liberation Mono" w:cs="Liberation Mono" w:eastAsia="Noto Sans Mono CJK SC" w:hAnsi="Liberation Mono"/>
      <w:sz w:val="20"/>
      <w:szCs w:val="20"/>
      <w:lang w:val="en-US" w:bidi="hi-IN" w:eastAsia="zh-CN"/>
    </w:rPr>
  </w:style>
  <w:style w:type="paragraph" w:styleId="style66">
    <w:name w:val="Body Text"/>
    <w:basedOn w:val="style0"/>
    <w:next w:val="style66"/>
    <w:link w:val="style4099"/>
    <w:pPr>
      <w:spacing w:after="140" w:lineRule="auto" w:line="276"/>
    </w:pPr>
    <w:rPr>
      <w:rFonts w:ascii="Calibri" w:cs="宋体" w:eastAsia="宋体" w:hAnsi="Calibri"/>
      <w:lang w:val="en-US" w:bidi="hi-IN" w:eastAsia="zh-CN"/>
    </w:rPr>
  </w:style>
  <w:style w:type="character" w:customStyle="1" w:styleId="style4099">
    <w:name w:val="Texto independiente Car"/>
    <w:basedOn w:val="style65"/>
    <w:next w:val="style4099"/>
    <w:link w:val="style66"/>
    <w:rPr>
      <w:rFonts w:eastAsia="宋体"/>
      <w:kern w:val="0"/>
      <w:lang w:val="en-US" w:bidi="hi-IN" w:eastAsia="zh-CN"/>
      <w14:ligatures xmlns:w14="http://schemas.microsoft.com/office/word/2010/wordml" w14:val="none"/>
    </w:rPr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>
      <w:rFonts w:ascii="Calibri" w:cs="宋体" w:eastAsia="宋体" w:hAnsi="Calibri"/>
      <w:lang w:val="es-ES" w:eastAsia="en-US"/>
    </w:rPr>
  </w:style>
  <w:style w:type="character" w:customStyle="1" w:styleId="style4100">
    <w:name w:val="Título 1 Car"/>
    <w:basedOn w:val="style65"/>
    <w:next w:val="style4100"/>
    <w:link w:val="style1"/>
    <w:uiPriority w:val="9"/>
    <w:rPr>
      <w:rFonts w:ascii="Calibri Light" w:cs="宋体" w:eastAsia="宋体" w:hAnsi="Calibri Light"/>
      <w:color w:val="2f5496"/>
      <w:kern w:val="0"/>
      <w:sz w:val="32"/>
      <w:szCs w:val="32"/>
      <w:lang w:val="es-US" w:eastAsia="es-MX"/>
      <w14:ligatures xmlns:w14="http://schemas.microsoft.com/office/word/2010/wordml" w14:val="none"/>
    </w:rPr>
  </w:style>
  <w:style w:type="character" w:customStyle="1" w:styleId="style4101">
    <w:name w:val="Título 5 Car"/>
    <w:basedOn w:val="style65"/>
    <w:next w:val="style4101"/>
    <w:link w:val="style5"/>
    <w:uiPriority w:val="9"/>
    <w:rPr>
      <w:rFonts w:ascii="Calibri Light" w:cs="宋体" w:eastAsia="宋体" w:hAnsi="Calibri Light"/>
      <w:color w:val="2f5496"/>
      <w:kern w:val="0"/>
      <w:lang w:val="es-US" w:eastAsia="es-MX"/>
      <w14:ligatures xmlns:w14="http://schemas.microsoft.com/office/word/2010/wordml" w14:val="non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Words>2284</Words>
  <Pages>19</Pages>
  <Characters>12944</Characters>
  <Application>WPS Office</Application>
  <DocSecurity>0</DocSecurity>
  <Paragraphs>152</Paragraphs>
  <ScaleCrop>false</ScaleCrop>
  <LinksUpToDate>false</LinksUpToDate>
  <CharactersWithSpaces>15203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2025-11-03T10:54:00Z</dcterms:created>
  <dc:creator>Yuliet Escalante Estupiñan</dc:creator>
  <lastModifiedBy>M2006C3LG</lastModifiedBy>
  <dcterms:modified xsi:type="dcterms:W3CDTF">2026-05-30T22:58:42Z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e4426ac5caf749e78f8d504fea7431de</vt:lpwstr>
  </property>
</Properties>
</file>