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14167" w14:textId="650C086B" w:rsidR="008D0D44" w:rsidRPr="008A6E88" w:rsidRDefault="008D0D44" w:rsidP="008D0D44">
      <w:pPr>
        <w:spacing w:line="360" w:lineRule="auto"/>
        <w:jc w:val="right"/>
        <w:rPr>
          <w:rFonts w:ascii="Arial" w:hAnsi="Arial" w:cs="Arial"/>
          <w:b/>
          <w:bCs/>
          <w:sz w:val="24"/>
          <w:lang w:val="es-CU"/>
        </w:rPr>
      </w:pPr>
      <w:r w:rsidRPr="008A6E88">
        <w:rPr>
          <w:rFonts w:ascii="Arial" w:hAnsi="Arial" w:cs="Arial"/>
          <w:b/>
          <w:bCs/>
          <w:sz w:val="24"/>
          <w:lang w:val="es-CU"/>
        </w:rPr>
        <w:t>R</w:t>
      </w:r>
      <w:r w:rsidRPr="008A6E88">
        <w:rPr>
          <w:rFonts w:ascii="Arial" w:hAnsi="Arial" w:cs="Arial"/>
          <w:b/>
          <w:bCs/>
          <w:sz w:val="24"/>
          <w:lang w:val="es-CU"/>
        </w:rPr>
        <w:t>evisión bibliográfica</w:t>
      </w:r>
    </w:p>
    <w:p w14:paraId="0483B410" w14:textId="77777777" w:rsidR="0053186D" w:rsidRPr="008A6E88" w:rsidRDefault="00AC36BF" w:rsidP="008D0D44">
      <w:pPr>
        <w:spacing w:line="360" w:lineRule="auto"/>
        <w:rPr>
          <w:rFonts w:ascii="Arial" w:hAnsi="Arial" w:cs="Arial"/>
          <w:sz w:val="24"/>
          <w:lang w:val="es-CU"/>
        </w:rPr>
      </w:pPr>
      <w:r w:rsidRPr="008A6E88">
        <w:rPr>
          <w:rFonts w:ascii="Arial" w:hAnsi="Arial" w:cs="Arial"/>
          <w:sz w:val="24"/>
          <w:lang w:val="es-CU"/>
        </w:rPr>
        <w:t>Factores de riesgo clínicos e imagenológicos asociados al tromboembolismo pulmonar en pacientes con enfermedad cerebrovascular isquémica: revisión bibliográfica</w:t>
      </w:r>
    </w:p>
    <w:p w14:paraId="17E51BFA" w14:textId="15D97984" w:rsidR="006C63CB" w:rsidRPr="008A6E88" w:rsidRDefault="006C63CB" w:rsidP="006C63CB">
      <w:pPr>
        <w:spacing w:line="360" w:lineRule="auto"/>
        <w:rPr>
          <w:rFonts w:ascii="Arial" w:hAnsi="Arial" w:cs="Arial"/>
          <w:sz w:val="24"/>
          <w:lang w:val="es-CU"/>
        </w:rPr>
      </w:pPr>
      <w:r w:rsidRPr="008A6E88">
        <w:rPr>
          <w:rFonts w:ascii="Arial" w:hAnsi="Arial" w:cs="Arial"/>
          <w:b/>
          <w:bCs/>
          <w:sz w:val="24"/>
          <w:lang w:val="es-CU"/>
        </w:rPr>
        <w:t>Autores</w:t>
      </w:r>
      <w:r w:rsidRPr="008A6E88">
        <w:rPr>
          <w:rFonts w:ascii="Arial" w:hAnsi="Arial" w:cs="Arial"/>
          <w:b/>
          <w:bCs/>
          <w:sz w:val="24"/>
          <w:lang w:val="es-CU"/>
        </w:rPr>
        <w:t xml:space="preserve">: </w:t>
      </w:r>
      <w:r w:rsidRPr="008A6E88">
        <w:rPr>
          <w:rFonts w:ascii="Arial" w:hAnsi="Arial" w:cs="Arial"/>
          <w:sz w:val="24"/>
          <w:lang w:val="es-CU"/>
        </w:rPr>
        <w:t>Wilber Jesús Riverón Carralero¹</w:t>
      </w:r>
      <w:r w:rsidR="008A6E88" w:rsidRPr="008A6E88">
        <w:rPr>
          <w:rFonts w:ascii="Arial" w:hAnsi="Arial" w:cs="Arial"/>
          <w:sz w:val="24"/>
          <w:lang w:val="es-CU"/>
        </w:rPr>
        <w:t>*</w:t>
      </w:r>
      <w:r w:rsidRPr="008A6E88">
        <w:rPr>
          <w:rFonts w:ascii="Arial" w:hAnsi="Arial" w:cs="Arial"/>
          <w:sz w:val="24"/>
          <w:lang w:val="es-CU"/>
        </w:rPr>
        <w:t>, José Cabrales Fuentes², Pedro Rafael Martínez Lozada³</w:t>
      </w:r>
    </w:p>
    <w:p w14:paraId="11B7ADDE" w14:textId="09FCF73C" w:rsidR="006C63CB" w:rsidRPr="008A6E88" w:rsidRDefault="006C63CB" w:rsidP="006C63CB">
      <w:pPr>
        <w:spacing w:line="360" w:lineRule="auto"/>
        <w:rPr>
          <w:rFonts w:ascii="Arial" w:hAnsi="Arial" w:cs="Arial"/>
          <w:sz w:val="24"/>
          <w:lang w:val="es-CU"/>
        </w:rPr>
      </w:pPr>
      <w:r w:rsidRPr="008A6E88">
        <w:rPr>
          <w:rFonts w:ascii="Arial" w:hAnsi="Arial" w:cs="Arial"/>
          <w:sz w:val="24"/>
          <w:lang w:val="es-CU"/>
        </w:rPr>
        <w:t>¹Especialista de Primer y Segundo Grado en Medicina Interna. Profesor Auxiliar. Investigador Agregado. Hospital Clínico Quirúrgico “Lucía Íñiguez Landín”, Holguín, Cuba.</w:t>
      </w:r>
      <w:r w:rsidRPr="008A6E88">
        <w:rPr>
          <w:rFonts w:ascii="Arial" w:hAnsi="Arial" w:cs="Arial"/>
          <w:sz w:val="24"/>
          <w:lang w:val="es-CU"/>
        </w:rPr>
        <w:t xml:space="preserve"> </w:t>
      </w:r>
      <w:r w:rsidRPr="008A6E88">
        <w:rPr>
          <w:rFonts w:ascii="Arial" w:hAnsi="Arial" w:cs="Arial"/>
          <w:sz w:val="24"/>
          <w:lang w:val="es-CU"/>
        </w:rPr>
        <w:t xml:space="preserve">ORCID: </w:t>
      </w:r>
      <w:hyperlink r:id="rId6" w:history="1">
        <w:r w:rsidRPr="008A6E88">
          <w:rPr>
            <w:rStyle w:val="Hipervnculo"/>
            <w:rFonts w:ascii="Arial" w:hAnsi="Arial" w:cs="Arial"/>
            <w:sz w:val="24"/>
            <w:lang w:val="es-CU"/>
          </w:rPr>
          <w:t>https://orcid.org/0000-0002-2401-5114</w:t>
        </w:r>
      </w:hyperlink>
    </w:p>
    <w:p w14:paraId="666E2962" w14:textId="77777777" w:rsidR="006C63CB" w:rsidRPr="008A6E88" w:rsidRDefault="006C63CB" w:rsidP="006C63CB">
      <w:pPr>
        <w:spacing w:line="360" w:lineRule="auto"/>
        <w:rPr>
          <w:rFonts w:ascii="Arial" w:hAnsi="Arial" w:cs="Arial"/>
          <w:sz w:val="24"/>
          <w:lang w:val="es-CU"/>
        </w:rPr>
      </w:pPr>
      <w:r w:rsidRPr="008A6E88">
        <w:rPr>
          <w:rFonts w:ascii="Arial" w:hAnsi="Arial" w:cs="Arial"/>
          <w:sz w:val="24"/>
          <w:lang w:val="es-CU"/>
        </w:rPr>
        <w:t>²Doctor en Ciencias de la Educación. Máster en Educación Virtual. Especialista de Primer y Segundo Grado en Medicina General Integral e Imagenología. Profesor Titular. Radiólogo acreditado de excelencia en Iberoamérica. Hospital Clínico Quirúrgico “Lucía Íñiguez Landín”, Holguín, Cuba.</w:t>
      </w:r>
      <w:r w:rsidRPr="008A6E88">
        <w:rPr>
          <w:rFonts w:ascii="Arial" w:hAnsi="Arial" w:cs="Arial"/>
          <w:sz w:val="24"/>
          <w:lang w:val="es-CU"/>
        </w:rPr>
        <w:t xml:space="preserve"> </w:t>
      </w:r>
      <w:r w:rsidRPr="008A6E88">
        <w:rPr>
          <w:rFonts w:ascii="Arial" w:hAnsi="Arial" w:cs="Arial"/>
          <w:sz w:val="24"/>
          <w:lang w:val="es-CU"/>
        </w:rPr>
        <w:t xml:space="preserve">ORCID: </w:t>
      </w:r>
      <w:hyperlink r:id="rId7" w:history="1">
        <w:r w:rsidRPr="008A6E88">
          <w:rPr>
            <w:rStyle w:val="Hipervnculo"/>
            <w:rFonts w:ascii="Arial" w:hAnsi="Arial" w:cs="Arial"/>
            <w:sz w:val="24"/>
            <w:lang w:val="es-CU"/>
          </w:rPr>
          <w:t>https://orcid.org/0000-0002-3504-4092</w:t>
        </w:r>
      </w:hyperlink>
      <w:r w:rsidRPr="008A6E88">
        <w:rPr>
          <w:rFonts w:ascii="Arial" w:hAnsi="Arial" w:cs="Arial"/>
          <w:sz w:val="24"/>
          <w:lang w:val="es-CU"/>
        </w:rPr>
        <w:t xml:space="preserve"> </w:t>
      </w:r>
    </w:p>
    <w:p w14:paraId="385CED14" w14:textId="1533B932" w:rsidR="006C63CB" w:rsidRPr="008A6E88" w:rsidRDefault="006C63CB" w:rsidP="006C63CB">
      <w:pPr>
        <w:spacing w:line="360" w:lineRule="auto"/>
        <w:rPr>
          <w:rFonts w:ascii="Arial" w:hAnsi="Arial" w:cs="Arial"/>
          <w:sz w:val="24"/>
          <w:lang w:val="es-CU"/>
        </w:rPr>
      </w:pPr>
      <w:r w:rsidRPr="008A6E88">
        <w:rPr>
          <w:rFonts w:ascii="Arial" w:hAnsi="Arial" w:cs="Arial"/>
          <w:sz w:val="24"/>
        </w:rPr>
        <w:t>³</w:t>
      </w:r>
      <w:r w:rsidRPr="008A6E88">
        <w:rPr>
          <w:rFonts w:ascii="Arial" w:hAnsi="Arial" w:cs="Arial"/>
          <w:sz w:val="24"/>
          <w:lang w:val="es-CU"/>
        </w:rPr>
        <w:t xml:space="preserve">Profesor Auxiliar. Máster en Ciencias de la Educación Médica. Investigador Agregado. </w:t>
      </w:r>
      <w:r w:rsidRPr="008A6E88">
        <w:rPr>
          <w:rFonts w:ascii="Arial" w:hAnsi="Arial" w:cs="Arial"/>
          <w:sz w:val="24"/>
          <w:lang w:val="es-CU"/>
        </w:rPr>
        <w:t>Universidad de Ciencias Médicas</w:t>
      </w:r>
      <w:r w:rsidRPr="008A6E88">
        <w:rPr>
          <w:rFonts w:ascii="Arial" w:hAnsi="Arial" w:cs="Arial"/>
          <w:sz w:val="24"/>
          <w:lang w:val="es-CU"/>
        </w:rPr>
        <w:t>, Holguín, Cuba.</w:t>
      </w:r>
      <w:r w:rsidR="008A6E88" w:rsidRPr="008A6E88">
        <w:rPr>
          <w:rFonts w:ascii="Arial" w:hAnsi="Arial" w:cs="Arial"/>
          <w:sz w:val="24"/>
          <w:lang w:val="es-CU"/>
        </w:rPr>
        <w:t xml:space="preserve"> </w:t>
      </w:r>
      <w:r w:rsidRPr="008A6E88">
        <w:rPr>
          <w:rFonts w:ascii="Arial" w:hAnsi="Arial" w:cs="Arial"/>
          <w:sz w:val="24"/>
          <w:lang w:val="es-CU"/>
        </w:rPr>
        <w:t xml:space="preserve">ORCID: </w:t>
      </w:r>
      <w:hyperlink r:id="rId8" w:history="1">
        <w:r w:rsidR="008A6E88" w:rsidRPr="008A6E88">
          <w:rPr>
            <w:rStyle w:val="Hipervnculo"/>
            <w:rFonts w:ascii="Arial" w:hAnsi="Arial" w:cs="Arial"/>
            <w:sz w:val="24"/>
            <w:lang w:val="es-CU"/>
          </w:rPr>
          <w:t>https://orcid.org/0000-0002-9571-4289</w:t>
        </w:r>
      </w:hyperlink>
    </w:p>
    <w:p w14:paraId="0EE753BE" w14:textId="77777777" w:rsidR="008A6E88" w:rsidRPr="008A6E88" w:rsidRDefault="008A6E88" w:rsidP="008A6E88">
      <w:pPr>
        <w:spacing w:line="360" w:lineRule="auto"/>
        <w:rPr>
          <w:rFonts w:ascii="Arial" w:hAnsi="Arial" w:cs="Arial"/>
          <w:sz w:val="24"/>
          <w:lang w:val="es-CU"/>
        </w:rPr>
      </w:pPr>
      <w:r w:rsidRPr="008A6E88">
        <w:rPr>
          <w:rFonts w:ascii="Arial" w:hAnsi="Arial" w:cs="Arial"/>
          <w:color w:val="000000"/>
          <w:sz w:val="24"/>
          <w:lang w:val="es-CU"/>
        </w:rPr>
        <w:t xml:space="preserve">*Autor para la correspondencia: </w:t>
      </w:r>
      <w:hyperlink r:id="rId9" w:history="1">
        <w:r w:rsidRPr="008A6E88">
          <w:rPr>
            <w:rStyle w:val="Hipervnculo"/>
            <w:rFonts w:ascii="Arial" w:hAnsi="Arial" w:cs="Arial"/>
            <w:sz w:val="24"/>
            <w:lang w:val="es-CU"/>
          </w:rPr>
          <w:t>willrivercar@gmail.com</w:t>
        </w:r>
      </w:hyperlink>
      <w:r w:rsidRPr="008A6E88">
        <w:rPr>
          <w:rFonts w:ascii="Arial" w:hAnsi="Arial" w:cs="Arial"/>
          <w:color w:val="0563C1"/>
          <w:sz w:val="24"/>
          <w:lang w:val="es-CU"/>
        </w:rPr>
        <w:t xml:space="preserve"> </w:t>
      </w:r>
    </w:p>
    <w:p w14:paraId="2CAC0542" w14:textId="448F0E90" w:rsidR="0053186D" w:rsidRPr="006C63CB" w:rsidRDefault="00AC36BF" w:rsidP="008D0D44">
      <w:pPr>
        <w:spacing w:line="360" w:lineRule="auto"/>
        <w:rPr>
          <w:rFonts w:ascii="Arial" w:hAnsi="Arial" w:cs="Arial"/>
          <w:b/>
          <w:bCs/>
          <w:sz w:val="24"/>
          <w:lang w:val="es-CU"/>
        </w:rPr>
      </w:pPr>
      <w:r w:rsidRPr="006C63CB">
        <w:rPr>
          <w:rFonts w:ascii="Arial" w:hAnsi="Arial" w:cs="Arial"/>
          <w:b/>
          <w:bCs/>
          <w:sz w:val="24"/>
          <w:lang w:val="es-CU"/>
        </w:rPr>
        <w:t>Resumen</w:t>
      </w:r>
    </w:p>
    <w:p w14:paraId="63B5F89E" w14:textId="32BDCF1D" w:rsidR="0053186D" w:rsidRPr="008D0D44" w:rsidRDefault="00AC36BF" w:rsidP="008D0D44">
      <w:pPr>
        <w:spacing w:line="360" w:lineRule="auto"/>
        <w:rPr>
          <w:rFonts w:ascii="Arial" w:hAnsi="Arial" w:cs="Arial"/>
          <w:sz w:val="24"/>
          <w:lang w:val="es-CU"/>
        </w:rPr>
      </w:pPr>
      <w:r w:rsidRPr="006C63CB">
        <w:rPr>
          <w:rFonts w:ascii="Arial" w:hAnsi="Arial" w:cs="Arial"/>
          <w:b/>
          <w:bCs/>
          <w:sz w:val="24"/>
          <w:lang w:val="es-CU"/>
        </w:rPr>
        <w:t>Introducción:</w:t>
      </w:r>
      <w:r w:rsidR="006C63CB">
        <w:rPr>
          <w:rFonts w:ascii="Arial" w:hAnsi="Arial" w:cs="Arial"/>
          <w:sz w:val="24"/>
          <w:lang w:val="es-CU"/>
        </w:rPr>
        <w:t xml:space="preserve"> </w:t>
      </w:r>
      <w:r w:rsidRPr="008D0D44">
        <w:rPr>
          <w:rFonts w:ascii="Arial" w:hAnsi="Arial" w:cs="Arial"/>
          <w:sz w:val="24"/>
          <w:lang w:val="es-CU"/>
        </w:rPr>
        <w:t>El tromboembolismo pulmonar constituye una de las complicaciones más graves en pacientes con enfermedad cerebrovasc</w:t>
      </w:r>
      <w:r w:rsidRPr="008D0D44">
        <w:rPr>
          <w:rFonts w:ascii="Arial" w:hAnsi="Arial" w:cs="Arial"/>
          <w:sz w:val="24"/>
          <w:lang w:val="es-CU"/>
        </w:rPr>
        <w:t>ular isquémica, incrementando la morbimortalidad hospitalaria.</w:t>
      </w:r>
    </w:p>
    <w:p w14:paraId="609C80BF" w14:textId="1E53E7F1" w:rsidR="0053186D" w:rsidRPr="008D0D44" w:rsidRDefault="00AC36BF" w:rsidP="008D0D44">
      <w:pPr>
        <w:spacing w:line="360" w:lineRule="auto"/>
        <w:rPr>
          <w:rFonts w:ascii="Arial" w:hAnsi="Arial" w:cs="Arial"/>
          <w:sz w:val="24"/>
          <w:lang w:val="es-CU"/>
        </w:rPr>
      </w:pPr>
      <w:r w:rsidRPr="006C63CB">
        <w:rPr>
          <w:rFonts w:ascii="Arial" w:hAnsi="Arial" w:cs="Arial"/>
          <w:b/>
          <w:bCs/>
          <w:sz w:val="24"/>
          <w:lang w:val="es-CU"/>
        </w:rPr>
        <w:t>Objetivo:</w:t>
      </w:r>
      <w:r w:rsidR="006C63CB">
        <w:rPr>
          <w:rFonts w:ascii="Arial" w:hAnsi="Arial" w:cs="Arial"/>
          <w:b/>
          <w:bCs/>
          <w:sz w:val="24"/>
          <w:lang w:val="es-CU"/>
        </w:rPr>
        <w:t xml:space="preserve"> </w:t>
      </w:r>
      <w:r w:rsidRPr="008D0D44">
        <w:rPr>
          <w:rFonts w:ascii="Arial" w:hAnsi="Arial" w:cs="Arial"/>
          <w:sz w:val="24"/>
          <w:lang w:val="es-CU"/>
        </w:rPr>
        <w:t>Describir los principales factores de riesgo clínicos e imagenológicos asociados al tromboembolismo pulmonar en pacientes con enfermedad cerebrovascular isquémica.</w:t>
      </w:r>
    </w:p>
    <w:p w14:paraId="659A24E5" w14:textId="6D6FD38A" w:rsidR="0053186D" w:rsidRPr="008D0D44" w:rsidRDefault="00AC36BF" w:rsidP="008D0D44">
      <w:pPr>
        <w:spacing w:line="360" w:lineRule="auto"/>
        <w:rPr>
          <w:rFonts w:ascii="Arial" w:hAnsi="Arial" w:cs="Arial"/>
          <w:sz w:val="24"/>
          <w:lang w:val="es-CU"/>
        </w:rPr>
      </w:pPr>
      <w:r w:rsidRPr="006C63CB">
        <w:rPr>
          <w:rFonts w:ascii="Arial" w:hAnsi="Arial" w:cs="Arial"/>
          <w:b/>
          <w:bCs/>
          <w:sz w:val="24"/>
          <w:lang w:val="es-CU"/>
        </w:rPr>
        <w:t>Método:</w:t>
      </w:r>
      <w:r w:rsidR="006C63CB">
        <w:rPr>
          <w:rFonts w:ascii="Arial" w:hAnsi="Arial" w:cs="Arial"/>
          <w:b/>
          <w:bCs/>
          <w:sz w:val="24"/>
          <w:lang w:val="es-CU"/>
        </w:rPr>
        <w:t xml:space="preserve"> </w:t>
      </w:r>
      <w:r w:rsidRPr="008D0D44">
        <w:rPr>
          <w:rFonts w:ascii="Arial" w:hAnsi="Arial" w:cs="Arial"/>
          <w:sz w:val="24"/>
          <w:lang w:val="es-CU"/>
        </w:rPr>
        <w:t>Se real</w:t>
      </w:r>
      <w:r w:rsidRPr="008D0D44">
        <w:rPr>
          <w:rFonts w:ascii="Arial" w:hAnsi="Arial" w:cs="Arial"/>
          <w:sz w:val="24"/>
          <w:lang w:val="es-CU"/>
        </w:rPr>
        <w:t xml:space="preserve">izó una revisión bibliográfica de publicaciones científicas entre 2020 y 2026 en bases de datos como PubMed, SciELO, </w:t>
      </w:r>
      <w:proofErr w:type="spellStart"/>
      <w:r w:rsidRPr="008D0D44">
        <w:rPr>
          <w:rFonts w:ascii="Arial" w:hAnsi="Arial" w:cs="Arial"/>
          <w:sz w:val="24"/>
          <w:lang w:val="es-CU"/>
        </w:rPr>
        <w:t>Scopus</w:t>
      </w:r>
      <w:proofErr w:type="spellEnd"/>
      <w:r w:rsidRPr="008D0D44">
        <w:rPr>
          <w:rFonts w:ascii="Arial" w:hAnsi="Arial" w:cs="Arial"/>
          <w:sz w:val="24"/>
          <w:lang w:val="es-CU"/>
        </w:rPr>
        <w:t xml:space="preserve"> y Google </w:t>
      </w:r>
      <w:proofErr w:type="spellStart"/>
      <w:r w:rsidRPr="008D0D44">
        <w:rPr>
          <w:rFonts w:ascii="Arial" w:hAnsi="Arial" w:cs="Arial"/>
          <w:sz w:val="24"/>
          <w:lang w:val="es-CU"/>
        </w:rPr>
        <w:t>Scholar</w:t>
      </w:r>
      <w:proofErr w:type="spellEnd"/>
      <w:r w:rsidRPr="008D0D44">
        <w:rPr>
          <w:rFonts w:ascii="Arial" w:hAnsi="Arial" w:cs="Arial"/>
          <w:sz w:val="24"/>
          <w:lang w:val="es-CU"/>
        </w:rPr>
        <w:t xml:space="preserve">. Se emplearon </w:t>
      </w:r>
      <w:r w:rsidRPr="008D0D44">
        <w:rPr>
          <w:rFonts w:ascii="Arial" w:hAnsi="Arial" w:cs="Arial"/>
          <w:sz w:val="24"/>
          <w:lang w:val="es-CU"/>
        </w:rPr>
        <w:lastRenderedPageBreak/>
        <w:t>descriptores relacionados con ictus isquémico, tromboembolismo pulmonar, factores de riesgo y diagnós</w:t>
      </w:r>
      <w:r w:rsidRPr="008D0D44">
        <w:rPr>
          <w:rFonts w:ascii="Arial" w:hAnsi="Arial" w:cs="Arial"/>
          <w:sz w:val="24"/>
          <w:lang w:val="es-CU"/>
        </w:rPr>
        <w:t>tico por imágenes. Se seleccionaron artículos originales, revisiones y guías clínicas de relevancia científica.</w:t>
      </w:r>
    </w:p>
    <w:p w14:paraId="3171A55C" w14:textId="47B03128" w:rsidR="0053186D" w:rsidRPr="008D0D44" w:rsidRDefault="00AC36BF" w:rsidP="008D0D44">
      <w:pPr>
        <w:spacing w:line="360" w:lineRule="auto"/>
        <w:rPr>
          <w:rFonts w:ascii="Arial" w:hAnsi="Arial" w:cs="Arial"/>
          <w:sz w:val="24"/>
          <w:lang w:val="es-CU"/>
        </w:rPr>
      </w:pPr>
      <w:r w:rsidRPr="006C63CB">
        <w:rPr>
          <w:rFonts w:ascii="Arial" w:hAnsi="Arial" w:cs="Arial"/>
          <w:b/>
          <w:bCs/>
          <w:sz w:val="24"/>
          <w:lang w:val="es-CU"/>
        </w:rPr>
        <w:t>Resultados:</w:t>
      </w:r>
      <w:r w:rsidR="006C63CB">
        <w:rPr>
          <w:rFonts w:ascii="Arial" w:hAnsi="Arial" w:cs="Arial"/>
          <w:sz w:val="24"/>
          <w:lang w:val="es-CU"/>
        </w:rPr>
        <w:t xml:space="preserve"> </w:t>
      </w:r>
      <w:r w:rsidRPr="008D0D44">
        <w:rPr>
          <w:rFonts w:ascii="Arial" w:hAnsi="Arial" w:cs="Arial"/>
          <w:sz w:val="24"/>
          <w:lang w:val="es-CU"/>
        </w:rPr>
        <w:t>Los principales factores clínicos asociados fueron la severidad del ictus, la inmovilización prolongada, la edad avanzada y las in</w:t>
      </w:r>
      <w:r w:rsidRPr="008D0D44">
        <w:rPr>
          <w:rFonts w:ascii="Arial" w:hAnsi="Arial" w:cs="Arial"/>
          <w:sz w:val="24"/>
          <w:lang w:val="es-CU"/>
        </w:rPr>
        <w:t>fecciones intrahospitalarias. Entre los factores imagenológicos destacaron los infartos cerebrales extensos, la oclusión de grandes vasos y la trombosis venosa profunda documentada por Doppler. La integración clínico-imagenológica mostró utilidad en la est</w:t>
      </w:r>
      <w:r w:rsidRPr="008D0D44">
        <w:rPr>
          <w:rFonts w:ascii="Arial" w:hAnsi="Arial" w:cs="Arial"/>
          <w:sz w:val="24"/>
          <w:lang w:val="es-CU"/>
        </w:rPr>
        <w:t>ratificación del riesgo tromboembólico.</w:t>
      </w:r>
    </w:p>
    <w:p w14:paraId="1C4BBE21" w14:textId="684B7F52" w:rsidR="0053186D" w:rsidRPr="008D0D44" w:rsidRDefault="00AC36BF" w:rsidP="008D0D44">
      <w:pPr>
        <w:spacing w:line="360" w:lineRule="auto"/>
        <w:rPr>
          <w:rFonts w:ascii="Arial" w:hAnsi="Arial" w:cs="Arial"/>
          <w:sz w:val="24"/>
          <w:lang w:val="es-CU"/>
        </w:rPr>
      </w:pPr>
      <w:r w:rsidRPr="006C63CB">
        <w:rPr>
          <w:rFonts w:ascii="Arial" w:hAnsi="Arial" w:cs="Arial"/>
          <w:b/>
          <w:bCs/>
          <w:sz w:val="24"/>
          <w:lang w:val="es-CU"/>
        </w:rPr>
        <w:t>Conclusiones:</w:t>
      </w:r>
      <w:r w:rsidR="006C63CB">
        <w:rPr>
          <w:rFonts w:ascii="Arial" w:hAnsi="Arial" w:cs="Arial"/>
          <w:b/>
          <w:bCs/>
          <w:sz w:val="24"/>
          <w:lang w:val="es-CU"/>
        </w:rPr>
        <w:t xml:space="preserve"> </w:t>
      </w:r>
      <w:r w:rsidRPr="008D0D44">
        <w:rPr>
          <w:rFonts w:ascii="Arial" w:hAnsi="Arial" w:cs="Arial"/>
          <w:sz w:val="24"/>
          <w:lang w:val="es-CU"/>
        </w:rPr>
        <w:t xml:space="preserve">El tromboembolismo pulmonar en el ictus isquémico se relaciona con factores que reflejan la gravedad neurológica y el estado protrombótico sistémico. Su identificación temprana favorece la </w:t>
      </w:r>
      <w:r w:rsidRPr="008D0D44">
        <w:rPr>
          <w:rFonts w:ascii="Arial" w:hAnsi="Arial" w:cs="Arial"/>
          <w:sz w:val="24"/>
          <w:lang w:val="es-CU"/>
        </w:rPr>
        <w:t>prevención y el diagnóstico oportuno.</w:t>
      </w:r>
    </w:p>
    <w:p w14:paraId="0FFA1542" w14:textId="77777777" w:rsidR="008A3246" w:rsidRDefault="00AC36BF" w:rsidP="008A3246">
      <w:pPr>
        <w:spacing w:line="360" w:lineRule="auto"/>
        <w:rPr>
          <w:rFonts w:ascii="Arial" w:hAnsi="Arial" w:cs="Arial"/>
          <w:sz w:val="24"/>
          <w:lang w:val="es-CU"/>
        </w:rPr>
      </w:pPr>
      <w:r w:rsidRPr="006C63CB">
        <w:rPr>
          <w:rFonts w:ascii="Arial" w:hAnsi="Arial" w:cs="Arial"/>
          <w:b/>
          <w:bCs/>
          <w:sz w:val="24"/>
          <w:lang w:val="es-CU"/>
        </w:rPr>
        <w:t>Palabras clave (</w:t>
      </w:r>
      <w:proofErr w:type="spellStart"/>
      <w:r w:rsidRPr="006C63CB">
        <w:rPr>
          <w:rFonts w:ascii="Arial" w:hAnsi="Arial" w:cs="Arial"/>
          <w:b/>
          <w:bCs/>
          <w:sz w:val="24"/>
          <w:lang w:val="es-CU"/>
        </w:rPr>
        <w:t>DeCS</w:t>
      </w:r>
      <w:proofErr w:type="spellEnd"/>
      <w:r w:rsidRPr="006C63CB">
        <w:rPr>
          <w:rFonts w:ascii="Arial" w:hAnsi="Arial" w:cs="Arial"/>
          <w:b/>
          <w:bCs/>
          <w:sz w:val="24"/>
          <w:lang w:val="es-CU"/>
        </w:rPr>
        <w:t>)</w:t>
      </w:r>
      <w:r w:rsidR="006C63CB" w:rsidRPr="006C63CB">
        <w:rPr>
          <w:rFonts w:ascii="Arial" w:hAnsi="Arial" w:cs="Arial"/>
          <w:b/>
          <w:bCs/>
          <w:sz w:val="24"/>
          <w:lang w:val="es-CU"/>
        </w:rPr>
        <w:t>:</w:t>
      </w:r>
      <w:r w:rsidR="006C63CB">
        <w:rPr>
          <w:rFonts w:ascii="Arial" w:hAnsi="Arial" w:cs="Arial"/>
          <w:b/>
          <w:bCs/>
          <w:sz w:val="24"/>
          <w:lang w:val="es-CU"/>
        </w:rPr>
        <w:t xml:space="preserve"> </w:t>
      </w:r>
      <w:r w:rsidRPr="008D0D44">
        <w:rPr>
          <w:rFonts w:ascii="Arial" w:hAnsi="Arial" w:cs="Arial"/>
          <w:sz w:val="24"/>
          <w:lang w:val="es-CU"/>
        </w:rPr>
        <w:t>Accidente Cerebrovascular Isquémico</w:t>
      </w:r>
      <w:r w:rsidR="006C63CB">
        <w:rPr>
          <w:rFonts w:ascii="Arial" w:hAnsi="Arial" w:cs="Arial"/>
          <w:sz w:val="24"/>
          <w:lang w:val="es-CU"/>
        </w:rPr>
        <w:t xml:space="preserve">; </w:t>
      </w:r>
      <w:r w:rsidRPr="008D0D44">
        <w:rPr>
          <w:rFonts w:ascii="Arial" w:hAnsi="Arial" w:cs="Arial"/>
          <w:sz w:val="24"/>
          <w:lang w:val="es-CU"/>
        </w:rPr>
        <w:t>Tromboembolia Pulmonar</w:t>
      </w:r>
      <w:r w:rsidR="006C63CB">
        <w:rPr>
          <w:rFonts w:ascii="Arial" w:hAnsi="Arial" w:cs="Arial"/>
          <w:sz w:val="24"/>
          <w:lang w:val="es-CU"/>
        </w:rPr>
        <w:t xml:space="preserve">; </w:t>
      </w:r>
      <w:r w:rsidRPr="008D0D44">
        <w:rPr>
          <w:rFonts w:ascii="Arial" w:hAnsi="Arial" w:cs="Arial"/>
          <w:sz w:val="24"/>
          <w:lang w:val="es-CU"/>
        </w:rPr>
        <w:t>Factores de Riesgo</w:t>
      </w:r>
      <w:r w:rsidR="006C63CB">
        <w:rPr>
          <w:rFonts w:ascii="Arial" w:hAnsi="Arial" w:cs="Arial"/>
          <w:sz w:val="24"/>
          <w:lang w:val="es-CU"/>
        </w:rPr>
        <w:t xml:space="preserve">; </w:t>
      </w:r>
      <w:r w:rsidRPr="008D0D44">
        <w:rPr>
          <w:rFonts w:ascii="Arial" w:hAnsi="Arial" w:cs="Arial"/>
          <w:sz w:val="24"/>
          <w:lang w:val="es-CU"/>
        </w:rPr>
        <w:t>Diagnóstico por Imagen</w:t>
      </w:r>
    </w:p>
    <w:p w14:paraId="269236D9" w14:textId="24F96DE8" w:rsidR="008A3246" w:rsidRPr="008A3246" w:rsidRDefault="008A3246" w:rsidP="008A3246">
      <w:pPr>
        <w:spacing w:line="360" w:lineRule="auto"/>
        <w:rPr>
          <w:rFonts w:ascii="Arial" w:hAnsi="Arial" w:cs="Arial"/>
          <w:sz w:val="24"/>
          <w:lang w:val="es-CU"/>
        </w:rPr>
      </w:pPr>
      <w:r w:rsidRPr="008A3246">
        <w:rPr>
          <w:rFonts w:ascii="Arial" w:hAnsi="Arial" w:cs="Arial"/>
          <w:b/>
          <w:bCs/>
          <w:sz w:val="24"/>
          <w:lang w:val="es-CU"/>
        </w:rPr>
        <w:t>Introducción</w:t>
      </w:r>
    </w:p>
    <w:p w14:paraId="1CF54064" w14:textId="340107BA" w:rsidR="008A6E88" w:rsidRPr="0060630A" w:rsidRDefault="008A6E88" w:rsidP="008A6E88">
      <w:pPr>
        <w:spacing w:line="360" w:lineRule="auto"/>
        <w:rPr>
          <w:rFonts w:ascii="Arial" w:hAnsi="Arial" w:cs="Arial"/>
          <w:sz w:val="24"/>
          <w:lang w:val="es-CU"/>
        </w:rPr>
      </w:pPr>
      <w:r w:rsidRPr="0060630A">
        <w:rPr>
          <w:rFonts w:ascii="Arial" w:hAnsi="Arial" w:cs="Arial"/>
          <w:sz w:val="24"/>
          <w:lang w:val="es-CU"/>
        </w:rPr>
        <w:t>La enfermedad cerebrovascular isquémica</w:t>
      </w:r>
      <w:r>
        <w:rPr>
          <w:rFonts w:ascii="Arial" w:hAnsi="Arial" w:cs="Arial"/>
          <w:sz w:val="24"/>
          <w:lang w:val="es-CU"/>
        </w:rPr>
        <w:t xml:space="preserve"> (ECVI)</w:t>
      </w:r>
      <w:r w:rsidRPr="0060630A">
        <w:rPr>
          <w:rFonts w:ascii="Arial" w:hAnsi="Arial" w:cs="Arial"/>
          <w:sz w:val="24"/>
          <w:lang w:val="es-CU"/>
        </w:rPr>
        <w:t xml:space="preserve"> se define como un síndrome neurológico agudo ocasionado por la interrupción parcial o total del flujo sanguíneo cerebral debido a la oclusión de un vaso arterial, lo que provoca disminución del aporte de oxígeno y nutrientes al tejido nervioso y consecuente daño cerebral. Constituye la forma más frecuente de enfermedad cerebrovascular y representa aproximadamente el ochenta y cinco por ciento de los ictus¹.</w:t>
      </w:r>
    </w:p>
    <w:p w14:paraId="1E9031AA" w14:textId="49436F9C" w:rsidR="008A6E88" w:rsidRPr="0060630A" w:rsidRDefault="008A6E88" w:rsidP="008A6E88">
      <w:pPr>
        <w:spacing w:line="360" w:lineRule="auto"/>
        <w:rPr>
          <w:rFonts w:ascii="Arial" w:hAnsi="Arial" w:cs="Arial"/>
          <w:sz w:val="24"/>
          <w:lang w:val="es-CU"/>
        </w:rPr>
      </w:pPr>
      <w:r w:rsidRPr="0060630A">
        <w:rPr>
          <w:rFonts w:ascii="Arial" w:hAnsi="Arial" w:cs="Arial"/>
          <w:sz w:val="24"/>
          <w:lang w:val="es-CU"/>
        </w:rPr>
        <w:t xml:space="preserve">La enfermedad cerebrovascular isquémica constituye actualmente una de las principales causas de muerte y discapacidad a nivel mundial. Según estimaciones recientes del estudio Global </w:t>
      </w:r>
      <w:proofErr w:type="spellStart"/>
      <w:r w:rsidRPr="0060630A">
        <w:rPr>
          <w:rFonts w:ascii="Arial" w:hAnsi="Arial" w:cs="Arial"/>
          <w:sz w:val="24"/>
          <w:lang w:val="es-CU"/>
        </w:rPr>
        <w:t>Burden</w:t>
      </w:r>
      <w:proofErr w:type="spellEnd"/>
      <w:r w:rsidRPr="0060630A">
        <w:rPr>
          <w:rFonts w:ascii="Arial" w:hAnsi="Arial" w:cs="Arial"/>
          <w:sz w:val="24"/>
          <w:lang w:val="es-CU"/>
        </w:rPr>
        <w:t xml:space="preserve"> </w:t>
      </w:r>
      <w:proofErr w:type="spellStart"/>
      <w:r w:rsidRPr="0060630A">
        <w:rPr>
          <w:rFonts w:ascii="Arial" w:hAnsi="Arial" w:cs="Arial"/>
          <w:sz w:val="24"/>
          <w:lang w:val="es-CU"/>
        </w:rPr>
        <w:t>of</w:t>
      </w:r>
      <w:proofErr w:type="spellEnd"/>
      <w:r w:rsidRPr="0060630A">
        <w:rPr>
          <w:rFonts w:ascii="Arial" w:hAnsi="Arial" w:cs="Arial"/>
          <w:sz w:val="24"/>
          <w:lang w:val="es-CU"/>
        </w:rPr>
        <w:t xml:space="preserve"> </w:t>
      </w:r>
      <w:proofErr w:type="spellStart"/>
      <w:r w:rsidRPr="0060630A">
        <w:rPr>
          <w:rFonts w:ascii="Arial" w:hAnsi="Arial" w:cs="Arial"/>
          <w:sz w:val="24"/>
          <w:lang w:val="es-CU"/>
        </w:rPr>
        <w:t>Disease</w:t>
      </w:r>
      <w:proofErr w:type="spellEnd"/>
      <w:r w:rsidRPr="0060630A">
        <w:rPr>
          <w:rFonts w:ascii="Arial" w:hAnsi="Arial" w:cs="Arial"/>
          <w:sz w:val="24"/>
          <w:lang w:val="es-CU"/>
        </w:rPr>
        <w:t xml:space="preserve">, el ictus se mantiene entre las primeras causas de mortalidad global y representa una importante carga sanitaria, económica y social, especialmente en países de ingresos medios y bajos. Se estima que más de doce </w:t>
      </w:r>
      <w:r w:rsidRPr="0060630A">
        <w:rPr>
          <w:rFonts w:ascii="Arial" w:hAnsi="Arial" w:cs="Arial"/>
          <w:sz w:val="24"/>
          <w:lang w:val="es-CU"/>
        </w:rPr>
        <w:lastRenderedPageBreak/>
        <w:t>millones de personas presentan un primer evento cerebrovascular cada año en el mundo, de los cuales aproximadamente el ochenta y cinco por ciento corresponden a eventos isquémicos</w:t>
      </w:r>
      <w:r w:rsidR="002B0077">
        <w:rPr>
          <w:rFonts w:ascii="Arial" w:hAnsi="Arial" w:cs="Arial"/>
          <w:sz w:val="24"/>
          <w:vertAlign w:val="superscript"/>
          <w:lang w:val="es-CU"/>
        </w:rPr>
        <w:t>2</w:t>
      </w:r>
      <w:r w:rsidRPr="0060630A">
        <w:rPr>
          <w:rFonts w:ascii="Arial" w:hAnsi="Arial" w:cs="Arial"/>
          <w:sz w:val="24"/>
          <w:lang w:val="es-CU"/>
        </w:rPr>
        <w:t>.</w:t>
      </w:r>
    </w:p>
    <w:p w14:paraId="5E26A2C4" w14:textId="78D77034" w:rsidR="008A6E88" w:rsidRPr="0060630A" w:rsidRDefault="008A6E88" w:rsidP="008A6E88">
      <w:pPr>
        <w:spacing w:line="360" w:lineRule="auto"/>
        <w:rPr>
          <w:rFonts w:ascii="Arial" w:hAnsi="Arial" w:cs="Arial"/>
          <w:sz w:val="24"/>
          <w:lang w:val="es-CU"/>
        </w:rPr>
      </w:pPr>
      <w:r w:rsidRPr="0060630A">
        <w:rPr>
          <w:rFonts w:ascii="Arial" w:hAnsi="Arial" w:cs="Arial"/>
          <w:sz w:val="24"/>
          <w:lang w:val="es-CU"/>
        </w:rPr>
        <w:t xml:space="preserve">Dentro del espectro de complicaciones tromboembólicas asociadas al accidente cerebrovascular isquémico, el tromboembolismo </w:t>
      </w:r>
      <w:r>
        <w:rPr>
          <w:rFonts w:ascii="Arial" w:hAnsi="Arial" w:cs="Arial"/>
          <w:sz w:val="24"/>
          <w:lang w:val="es-CU"/>
        </w:rPr>
        <w:t>pulmonar (TEP)</w:t>
      </w:r>
      <w:r w:rsidRPr="0060630A">
        <w:rPr>
          <w:rFonts w:ascii="Arial" w:hAnsi="Arial" w:cs="Arial"/>
          <w:sz w:val="24"/>
          <w:lang w:val="es-CU"/>
        </w:rPr>
        <w:t xml:space="preserve"> constituye una de las entidades de mayor relevancia clínica debido a su relación directa con la inmovilización prolongada y el daño neurológico severo. La fisiopatología se explica por la tríada de Virchow. En este contexto, el tromboembolismo pulmonar puede aparecer como una complicación subdiagnosticada, muchas veces enmascarada por la clínica neurológica predominante, lo que dificulta su detección precoz y contribuye a su elevada mortalidad en pacientes hospitalizados por ictus isquémico</w:t>
      </w:r>
      <w:r w:rsidR="002B0077">
        <w:rPr>
          <w:rFonts w:ascii="Arial" w:hAnsi="Arial" w:cs="Arial"/>
          <w:sz w:val="24"/>
          <w:vertAlign w:val="superscript"/>
          <w:lang w:val="es-CU"/>
        </w:rPr>
        <w:t>3</w:t>
      </w:r>
      <w:r w:rsidRPr="0060630A">
        <w:rPr>
          <w:rFonts w:ascii="Arial" w:hAnsi="Arial" w:cs="Arial"/>
          <w:sz w:val="24"/>
          <w:lang w:val="es-CU"/>
        </w:rPr>
        <w:t>.</w:t>
      </w:r>
    </w:p>
    <w:p w14:paraId="0B3F24F4" w14:textId="0039661E" w:rsidR="008A6E88" w:rsidRPr="0060630A" w:rsidRDefault="008A6E88" w:rsidP="008A6E88">
      <w:pPr>
        <w:spacing w:line="360" w:lineRule="auto"/>
        <w:rPr>
          <w:rFonts w:ascii="Arial" w:hAnsi="Arial" w:cs="Arial"/>
          <w:sz w:val="24"/>
          <w:lang w:val="es-CU"/>
        </w:rPr>
      </w:pPr>
      <w:r w:rsidRPr="0060630A">
        <w:rPr>
          <w:rFonts w:ascii="Arial" w:hAnsi="Arial" w:cs="Arial"/>
          <w:sz w:val="24"/>
          <w:lang w:val="es-CU"/>
        </w:rPr>
        <w:t>El tromboembolismo pulmonar en el contexto de la enfermedad cerebrovascular isquémica representa una complicación de alta gravedad clínica, caracterizada por una presentación frecuentemente atípica debido a la coexistencia de déficit neurológico que puede enmascarar síntomas cardinales como disnea o dolor torácico. En este grupo de pacientes, la sospecha clínica debe ser elevada ante la aparición de deterioro súbito del estado general, hipoxemia inexplicada o inestabilidad hemodinámica</w:t>
      </w:r>
      <w:r w:rsidR="00AB20A1">
        <w:rPr>
          <w:rFonts w:ascii="Arial" w:hAnsi="Arial" w:cs="Arial"/>
          <w:sz w:val="24"/>
          <w:vertAlign w:val="superscript"/>
          <w:lang w:val="es-CU"/>
        </w:rPr>
        <w:t>4</w:t>
      </w:r>
      <w:r w:rsidRPr="0060630A">
        <w:rPr>
          <w:rFonts w:ascii="Arial" w:hAnsi="Arial" w:cs="Arial"/>
          <w:sz w:val="24"/>
          <w:lang w:val="es-CU"/>
        </w:rPr>
        <w:t>.</w:t>
      </w:r>
    </w:p>
    <w:p w14:paraId="10795FC3" w14:textId="3D311258" w:rsidR="008A6E88" w:rsidRPr="0060630A" w:rsidRDefault="008A6E88" w:rsidP="008A6E88">
      <w:pPr>
        <w:spacing w:line="360" w:lineRule="auto"/>
        <w:rPr>
          <w:rFonts w:ascii="Arial" w:hAnsi="Arial" w:cs="Arial"/>
          <w:sz w:val="24"/>
          <w:lang w:val="es-CU"/>
        </w:rPr>
      </w:pPr>
      <w:r w:rsidRPr="0060630A">
        <w:rPr>
          <w:rFonts w:ascii="Arial" w:hAnsi="Arial" w:cs="Arial"/>
          <w:sz w:val="24"/>
          <w:lang w:val="es-CU"/>
        </w:rPr>
        <w:t xml:space="preserve">En pacientes con enfermedad cerebrovascular isquémica, el tromboembolismo pulmonar (TEP) constituye una complicación tromboembólica infrecuente pero clínicamente relevante, asociada a elevada mortalidad hospitalaria y dificultad diagnóstica por la superposición de síntomas neurológicos y respiratorios. La evidencia contemporánea basada en metaanálisis amplios ha demostrado que la prevalencia global del TEP posterior a un accidente cerebrovascular isquémico es aproximadamente de 0,40%, aunque puede incrementarse dependiendo de la severidad del déficit neurológico, el grado de inmovilización y la ausencia de medidas de profilaxis tromboembólica. Este riesgo es significativamente mayor que en la población general, en la que la incidencia </w:t>
      </w:r>
      <w:r w:rsidRPr="0060630A">
        <w:rPr>
          <w:rFonts w:ascii="Arial" w:hAnsi="Arial" w:cs="Arial"/>
          <w:sz w:val="24"/>
          <w:lang w:val="es-CU"/>
        </w:rPr>
        <w:lastRenderedPageBreak/>
        <w:t>anual estimada de TEP es inferior al 0,1%, lo que confirma el ictus isquémico como una condición clínica de alto riesgo tromboembólico durante la fase aguda y subaguda</w:t>
      </w:r>
      <w:r w:rsidR="00AB20A1">
        <w:rPr>
          <w:rFonts w:ascii="Arial" w:hAnsi="Arial" w:cs="Arial"/>
          <w:sz w:val="24"/>
          <w:vertAlign w:val="superscript"/>
          <w:lang w:val="es-CU"/>
        </w:rPr>
        <w:t>5</w:t>
      </w:r>
      <w:r w:rsidRPr="0060630A">
        <w:rPr>
          <w:rFonts w:ascii="Arial" w:hAnsi="Arial" w:cs="Arial"/>
          <w:sz w:val="24"/>
          <w:lang w:val="es-CU"/>
        </w:rPr>
        <w:t>.</w:t>
      </w:r>
    </w:p>
    <w:p w14:paraId="557912C6" w14:textId="2F553FA4" w:rsidR="0053186D" w:rsidRPr="008D0D44" w:rsidRDefault="00AC36BF" w:rsidP="008D0D44">
      <w:pPr>
        <w:spacing w:line="360" w:lineRule="auto"/>
        <w:rPr>
          <w:rFonts w:ascii="Arial" w:hAnsi="Arial" w:cs="Arial"/>
          <w:sz w:val="24"/>
          <w:lang w:val="es-CU"/>
        </w:rPr>
      </w:pPr>
      <w:r w:rsidRPr="008D0D44">
        <w:rPr>
          <w:rFonts w:ascii="Arial" w:hAnsi="Arial" w:cs="Arial"/>
          <w:sz w:val="24"/>
          <w:lang w:val="es-CU"/>
        </w:rPr>
        <w:t>A pesar de la existencia de modelos generales de estratificación trom</w:t>
      </w:r>
      <w:r w:rsidRPr="008D0D44">
        <w:rPr>
          <w:rFonts w:ascii="Arial" w:hAnsi="Arial" w:cs="Arial"/>
          <w:sz w:val="24"/>
          <w:lang w:val="es-CU"/>
        </w:rPr>
        <w:t>boembólica, persisten limitaciones en la identificación precoz de pacientes con alto riesgo de tromboembolismo pulmonar dentro del contexto neurovascular, lo que dificulta la implementación oportuna de estrategias preventivas y diagnósticas.</w:t>
      </w:r>
      <w:r w:rsidR="00AE158B">
        <w:rPr>
          <w:rFonts w:ascii="Arial" w:hAnsi="Arial" w:cs="Arial"/>
          <w:sz w:val="24"/>
          <w:lang w:val="es-CU"/>
        </w:rPr>
        <w:t xml:space="preserve"> </w:t>
      </w:r>
      <w:r w:rsidRPr="008D0D44">
        <w:rPr>
          <w:rFonts w:ascii="Arial" w:hAnsi="Arial" w:cs="Arial"/>
          <w:sz w:val="24"/>
          <w:lang w:val="es-CU"/>
        </w:rPr>
        <w:t>En este conte</w:t>
      </w:r>
      <w:r w:rsidRPr="008D0D44">
        <w:rPr>
          <w:rFonts w:ascii="Arial" w:hAnsi="Arial" w:cs="Arial"/>
          <w:sz w:val="24"/>
          <w:lang w:val="es-CU"/>
        </w:rPr>
        <w:t>xto surge el siguiente problema científico:</w:t>
      </w:r>
      <w:r w:rsidR="00AE158B">
        <w:rPr>
          <w:rFonts w:ascii="Arial" w:hAnsi="Arial" w:cs="Arial"/>
          <w:sz w:val="24"/>
          <w:lang w:val="es-CU"/>
        </w:rPr>
        <w:t xml:space="preserve"> </w:t>
      </w:r>
      <w:r w:rsidRPr="008D0D44">
        <w:rPr>
          <w:rFonts w:ascii="Arial" w:hAnsi="Arial" w:cs="Arial"/>
          <w:sz w:val="24"/>
          <w:lang w:val="es-CU"/>
        </w:rPr>
        <w:t>¿Cuáles son los principales factores de riesgo clínicos e imagenológicos asociados al tromboembolismo pulmonar en pacientes con enfermedad cerebrovascular isquémica descritos en la literatura científica actual?</w:t>
      </w:r>
    </w:p>
    <w:p w14:paraId="2D732985" w14:textId="77777777" w:rsidR="0053186D" w:rsidRPr="008D7756" w:rsidRDefault="00AC36BF" w:rsidP="008D0D44">
      <w:pPr>
        <w:spacing w:line="360" w:lineRule="auto"/>
        <w:rPr>
          <w:rFonts w:ascii="Arial" w:hAnsi="Arial" w:cs="Arial"/>
          <w:b/>
          <w:bCs/>
          <w:sz w:val="24"/>
          <w:lang w:val="es-CU"/>
        </w:rPr>
      </w:pPr>
      <w:r w:rsidRPr="008D7756">
        <w:rPr>
          <w:rFonts w:ascii="Arial" w:hAnsi="Arial" w:cs="Arial"/>
          <w:b/>
          <w:bCs/>
          <w:sz w:val="24"/>
          <w:lang w:val="es-CU"/>
        </w:rPr>
        <w:t>Método</w:t>
      </w:r>
    </w:p>
    <w:p w14:paraId="3D3FE909" w14:textId="77777777" w:rsidR="0053186D" w:rsidRPr="008D0D44" w:rsidRDefault="00AC36BF" w:rsidP="008D0D44">
      <w:pPr>
        <w:spacing w:line="360" w:lineRule="auto"/>
        <w:rPr>
          <w:rFonts w:ascii="Arial" w:hAnsi="Arial" w:cs="Arial"/>
          <w:sz w:val="24"/>
          <w:lang w:val="es-CU"/>
        </w:rPr>
      </w:pPr>
      <w:r w:rsidRPr="008D0D44">
        <w:rPr>
          <w:rFonts w:ascii="Arial" w:hAnsi="Arial" w:cs="Arial"/>
          <w:sz w:val="24"/>
          <w:lang w:val="es-CU"/>
        </w:rPr>
        <w:t>Se realizó una revisión bibliog</w:t>
      </w:r>
      <w:r w:rsidRPr="008D0D44">
        <w:rPr>
          <w:rFonts w:ascii="Arial" w:hAnsi="Arial" w:cs="Arial"/>
          <w:sz w:val="24"/>
          <w:lang w:val="es-CU"/>
        </w:rPr>
        <w:t>ráfica descriptiva y analítica sobre los factores de riesgo clínicos e imagenológicos asociados al tromboembolismo pulmonar en pacientes con enfermedad cerebrovascular isquémica.</w:t>
      </w:r>
    </w:p>
    <w:p w14:paraId="29A81071" w14:textId="59B569F7" w:rsidR="0053186D" w:rsidRPr="008D0D44" w:rsidRDefault="00AC36BF" w:rsidP="008D0D44">
      <w:pPr>
        <w:spacing w:line="360" w:lineRule="auto"/>
        <w:rPr>
          <w:rFonts w:ascii="Arial" w:hAnsi="Arial" w:cs="Arial"/>
          <w:sz w:val="24"/>
          <w:lang w:val="es-CU"/>
        </w:rPr>
      </w:pPr>
      <w:r w:rsidRPr="008D0D44">
        <w:rPr>
          <w:rFonts w:ascii="Arial" w:hAnsi="Arial" w:cs="Arial"/>
          <w:sz w:val="24"/>
          <w:lang w:val="es-CU"/>
        </w:rPr>
        <w:t xml:space="preserve">La búsqueda de información científica se efectuó entre los meses de enero y </w:t>
      </w:r>
      <w:r w:rsidRPr="008D0D44">
        <w:rPr>
          <w:rFonts w:ascii="Arial" w:hAnsi="Arial" w:cs="Arial"/>
          <w:sz w:val="24"/>
          <w:lang w:val="es-CU"/>
        </w:rPr>
        <w:t>mayo de 2026 en las bases de datos biomédicas nacionales e internacionales:</w:t>
      </w:r>
      <w:r w:rsidR="00F441EE">
        <w:rPr>
          <w:rFonts w:ascii="Arial" w:hAnsi="Arial" w:cs="Arial"/>
          <w:sz w:val="24"/>
          <w:lang w:val="es-CU"/>
        </w:rPr>
        <w:t xml:space="preserve"> </w:t>
      </w:r>
      <w:r w:rsidRPr="008D0D44">
        <w:rPr>
          <w:rFonts w:ascii="Arial" w:hAnsi="Arial" w:cs="Arial"/>
          <w:sz w:val="24"/>
          <w:lang w:val="es-CU"/>
        </w:rPr>
        <w:t xml:space="preserve">PubMed/MEDLINE, SciELO, </w:t>
      </w:r>
      <w:proofErr w:type="spellStart"/>
      <w:r w:rsidRPr="008D0D44">
        <w:rPr>
          <w:rFonts w:ascii="Arial" w:hAnsi="Arial" w:cs="Arial"/>
          <w:sz w:val="24"/>
          <w:lang w:val="es-CU"/>
        </w:rPr>
        <w:t>Scopus</w:t>
      </w:r>
      <w:proofErr w:type="spellEnd"/>
      <w:r w:rsidRPr="008D0D44">
        <w:rPr>
          <w:rFonts w:ascii="Arial" w:hAnsi="Arial" w:cs="Arial"/>
          <w:sz w:val="24"/>
          <w:lang w:val="es-CU"/>
        </w:rPr>
        <w:t xml:space="preserve">, Elsevier y Google </w:t>
      </w:r>
      <w:proofErr w:type="spellStart"/>
      <w:r w:rsidRPr="008D0D44">
        <w:rPr>
          <w:rFonts w:ascii="Arial" w:hAnsi="Arial" w:cs="Arial"/>
          <w:sz w:val="24"/>
          <w:lang w:val="es-CU"/>
        </w:rPr>
        <w:t>Scholar</w:t>
      </w:r>
      <w:proofErr w:type="spellEnd"/>
      <w:r w:rsidRPr="008D0D44">
        <w:rPr>
          <w:rFonts w:ascii="Arial" w:hAnsi="Arial" w:cs="Arial"/>
          <w:sz w:val="24"/>
          <w:lang w:val="es-CU"/>
        </w:rPr>
        <w:t>. Para la estrategia de búsqueda se emplearon descriptores en español e inglés, obtenidos de los Descriptores en Ciencias d</w:t>
      </w:r>
      <w:r w:rsidRPr="008D0D44">
        <w:rPr>
          <w:rFonts w:ascii="Arial" w:hAnsi="Arial" w:cs="Arial"/>
          <w:sz w:val="24"/>
          <w:lang w:val="es-CU"/>
        </w:rPr>
        <w:t>e la Salud (</w:t>
      </w:r>
      <w:proofErr w:type="spellStart"/>
      <w:r w:rsidRPr="008D0D44">
        <w:rPr>
          <w:rFonts w:ascii="Arial" w:hAnsi="Arial" w:cs="Arial"/>
          <w:sz w:val="24"/>
          <w:lang w:val="es-CU"/>
        </w:rPr>
        <w:t>DeCS</w:t>
      </w:r>
      <w:proofErr w:type="spellEnd"/>
      <w:r w:rsidRPr="008D0D44">
        <w:rPr>
          <w:rFonts w:ascii="Arial" w:hAnsi="Arial" w:cs="Arial"/>
          <w:sz w:val="24"/>
          <w:lang w:val="es-CU"/>
        </w:rPr>
        <w:t xml:space="preserve">) y Medical </w:t>
      </w:r>
      <w:proofErr w:type="spellStart"/>
      <w:r w:rsidRPr="008D0D44">
        <w:rPr>
          <w:rFonts w:ascii="Arial" w:hAnsi="Arial" w:cs="Arial"/>
          <w:sz w:val="24"/>
          <w:lang w:val="es-CU"/>
        </w:rPr>
        <w:t>Subject</w:t>
      </w:r>
      <w:proofErr w:type="spellEnd"/>
      <w:r w:rsidRPr="008D0D44">
        <w:rPr>
          <w:rFonts w:ascii="Arial" w:hAnsi="Arial" w:cs="Arial"/>
          <w:sz w:val="24"/>
          <w:lang w:val="es-CU"/>
        </w:rPr>
        <w:t xml:space="preserve"> </w:t>
      </w:r>
      <w:proofErr w:type="spellStart"/>
      <w:r w:rsidRPr="008D0D44">
        <w:rPr>
          <w:rFonts w:ascii="Arial" w:hAnsi="Arial" w:cs="Arial"/>
          <w:sz w:val="24"/>
          <w:lang w:val="es-CU"/>
        </w:rPr>
        <w:t>Headings</w:t>
      </w:r>
      <w:proofErr w:type="spellEnd"/>
      <w:r w:rsidRPr="008D0D44">
        <w:rPr>
          <w:rFonts w:ascii="Arial" w:hAnsi="Arial" w:cs="Arial"/>
          <w:sz w:val="24"/>
          <w:lang w:val="es-CU"/>
        </w:rPr>
        <w:t xml:space="preserve"> (</w:t>
      </w:r>
      <w:proofErr w:type="spellStart"/>
      <w:r w:rsidRPr="008D0D44">
        <w:rPr>
          <w:rFonts w:ascii="Arial" w:hAnsi="Arial" w:cs="Arial"/>
          <w:sz w:val="24"/>
          <w:lang w:val="es-CU"/>
        </w:rPr>
        <w:t>MeSH</w:t>
      </w:r>
      <w:proofErr w:type="spellEnd"/>
      <w:r w:rsidRPr="008D0D44">
        <w:rPr>
          <w:rFonts w:ascii="Arial" w:hAnsi="Arial" w:cs="Arial"/>
          <w:sz w:val="24"/>
          <w:lang w:val="es-CU"/>
        </w:rPr>
        <w:t>), entre ellos: “accidente cerebrovascular isquémico”, “tromboembolia pulmonar”, “factores de riesgo”, “diagnóstico por imágenes”, “</w:t>
      </w:r>
      <w:proofErr w:type="spellStart"/>
      <w:r w:rsidRPr="008D0D44">
        <w:rPr>
          <w:rFonts w:ascii="Arial" w:hAnsi="Arial" w:cs="Arial"/>
          <w:sz w:val="24"/>
          <w:lang w:val="es-CU"/>
        </w:rPr>
        <w:t>ischaemic</w:t>
      </w:r>
      <w:proofErr w:type="spellEnd"/>
      <w:r w:rsidRPr="008D0D44">
        <w:rPr>
          <w:rFonts w:ascii="Arial" w:hAnsi="Arial" w:cs="Arial"/>
          <w:sz w:val="24"/>
          <w:lang w:val="es-CU"/>
        </w:rPr>
        <w:t xml:space="preserve"> </w:t>
      </w:r>
      <w:proofErr w:type="spellStart"/>
      <w:r w:rsidRPr="008D0D44">
        <w:rPr>
          <w:rFonts w:ascii="Arial" w:hAnsi="Arial" w:cs="Arial"/>
          <w:sz w:val="24"/>
          <w:lang w:val="es-CU"/>
        </w:rPr>
        <w:t>stroke</w:t>
      </w:r>
      <w:proofErr w:type="spellEnd"/>
      <w:r w:rsidRPr="008D0D44">
        <w:rPr>
          <w:rFonts w:ascii="Arial" w:hAnsi="Arial" w:cs="Arial"/>
          <w:sz w:val="24"/>
          <w:lang w:val="es-CU"/>
        </w:rPr>
        <w:t>”, “</w:t>
      </w:r>
      <w:proofErr w:type="spellStart"/>
      <w:r w:rsidRPr="008D0D44">
        <w:rPr>
          <w:rFonts w:ascii="Arial" w:hAnsi="Arial" w:cs="Arial"/>
          <w:sz w:val="24"/>
          <w:lang w:val="es-CU"/>
        </w:rPr>
        <w:t>pulmonary</w:t>
      </w:r>
      <w:proofErr w:type="spellEnd"/>
      <w:r w:rsidRPr="008D0D44">
        <w:rPr>
          <w:rFonts w:ascii="Arial" w:hAnsi="Arial" w:cs="Arial"/>
          <w:sz w:val="24"/>
          <w:lang w:val="es-CU"/>
        </w:rPr>
        <w:t xml:space="preserve"> </w:t>
      </w:r>
      <w:proofErr w:type="spellStart"/>
      <w:r w:rsidRPr="008D0D44">
        <w:rPr>
          <w:rFonts w:ascii="Arial" w:hAnsi="Arial" w:cs="Arial"/>
          <w:sz w:val="24"/>
          <w:lang w:val="es-CU"/>
        </w:rPr>
        <w:t>embolism</w:t>
      </w:r>
      <w:proofErr w:type="spellEnd"/>
      <w:r w:rsidRPr="008D0D44">
        <w:rPr>
          <w:rFonts w:ascii="Arial" w:hAnsi="Arial" w:cs="Arial"/>
          <w:sz w:val="24"/>
          <w:lang w:val="es-CU"/>
        </w:rPr>
        <w:t>” y “</w:t>
      </w:r>
      <w:proofErr w:type="spellStart"/>
      <w:r w:rsidRPr="008D0D44">
        <w:rPr>
          <w:rFonts w:ascii="Arial" w:hAnsi="Arial" w:cs="Arial"/>
          <w:sz w:val="24"/>
          <w:lang w:val="es-CU"/>
        </w:rPr>
        <w:t>risk</w:t>
      </w:r>
      <w:proofErr w:type="spellEnd"/>
      <w:r w:rsidRPr="008D0D44">
        <w:rPr>
          <w:rFonts w:ascii="Arial" w:hAnsi="Arial" w:cs="Arial"/>
          <w:sz w:val="24"/>
          <w:lang w:val="es-CU"/>
        </w:rPr>
        <w:t xml:space="preserve"> </w:t>
      </w:r>
      <w:proofErr w:type="spellStart"/>
      <w:r w:rsidRPr="008D0D44">
        <w:rPr>
          <w:rFonts w:ascii="Arial" w:hAnsi="Arial" w:cs="Arial"/>
          <w:sz w:val="24"/>
          <w:lang w:val="es-CU"/>
        </w:rPr>
        <w:t>factors</w:t>
      </w:r>
      <w:proofErr w:type="spellEnd"/>
      <w:r w:rsidRPr="008D0D44">
        <w:rPr>
          <w:rFonts w:ascii="Arial" w:hAnsi="Arial" w:cs="Arial"/>
          <w:sz w:val="24"/>
          <w:lang w:val="es-CU"/>
        </w:rPr>
        <w:t>”.</w:t>
      </w:r>
    </w:p>
    <w:p w14:paraId="620F5703" w14:textId="77777777" w:rsidR="0053186D" w:rsidRPr="008D0D44" w:rsidRDefault="00AC36BF" w:rsidP="008D0D44">
      <w:pPr>
        <w:spacing w:line="360" w:lineRule="auto"/>
        <w:rPr>
          <w:rFonts w:ascii="Arial" w:hAnsi="Arial" w:cs="Arial"/>
          <w:sz w:val="24"/>
          <w:lang w:val="es-CU"/>
        </w:rPr>
      </w:pPr>
      <w:r w:rsidRPr="008D0D44">
        <w:rPr>
          <w:rFonts w:ascii="Arial" w:hAnsi="Arial" w:cs="Arial"/>
          <w:sz w:val="24"/>
          <w:lang w:val="es-CU"/>
        </w:rPr>
        <w:t>Se utilizaron o</w:t>
      </w:r>
      <w:r w:rsidRPr="008D0D44">
        <w:rPr>
          <w:rFonts w:ascii="Arial" w:hAnsi="Arial" w:cs="Arial"/>
          <w:sz w:val="24"/>
          <w:lang w:val="es-CU"/>
        </w:rPr>
        <w:t>peradores booleanos (AND y OR) para combinar los términos de búsqueda y optimizar la recuperación de artículos relacionados con la temática estudiada.</w:t>
      </w:r>
    </w:p>
    <w:p w14:paraId="199AB15A" w14:textId="71AC7AA9" w:rsidR="00F441EE" w:rsidRPr="00EF7F2B" w:rsidRDefault="00EF7F2B" w:rsidP="008D0D44">
      <w:pPr>
        <w:spacing w:line="360" w:lineRule="auto"/>
        <w:rPr>
          <w:rFonts w:ascii="Arial" w:hAnsi="Arial" w:cs="Arial"/>
          <w:b/>
          <w:bCs/>
          <w:sz w:val="24"/>
          <w:lang w:val="es-CU"/>
        </w:rPr>
      </w:pPr>
      <w:r w:rsidRPr="00EF7F2B">
        <w:rPr>
          <w:rFonts w:ascii="Arial" w:hAnsi="Arial" w:cs="Arial"/>
          <w:b/>
          <w:bCs/>
          <w:sz w:val="24"/>
          <w:lang w:val="es-CU"/>
        </w:rPr>
        <w:t>Desarrollo</w:t>
      </w:r>
    </w:p>
    <w:p w14:paraId="20DF022C" w14:textId="0349EF13"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 xml:space="preserve">Los pacientes con enfermedad cerebrovascular isquémica presentan un riesgo significativamente incrementado de desarrollar tromboembolismo pulmonar durante la </w:t>
      </w:r>
      <w:r w:rsidRPr="003D0A63">
        <w:rPr>
          <w:rFonts w:ascii="Arial" w:hAnsi="Arial" w:cs="Arial"/>
          <w:sz w:val="24"/>
          <w:lang w:val="es-CU"/>
        </w:rPr>
        <w:lastRenderedPageBreak/>
        <w:t>fase aguda y subaguda de la enfermedad. Este riesgo no es homogéneo, sino que depende de la interacción entre factores neurológicos, sistémicos, iatrogénicos y relacionados con la gravedad del evento índice. En este contexto, el TEP debe entenderse como una complicación multifactorial del paciente neurológico hospitalizado, más que como un evento aislado</w:t>
      </w:r>
      <w:r w:rsidR="00AB20A1">
        <w:rPr>
          <w:rFonts w:ascii="Arial" w:hAnsi="Arial" w:cs="Arial"/>
          <w:sz w:val="24"/>
          <w:vertAlign w:val="superscript"/>
          <w:lang w:val="es-CU"/>
        </w:rPr>
        <w:t>4</w:t>
      </w:r>
      <w:r w:rsidRPr="003D0A63">
        <w:rPr>
          <w:rFonts w:ascii="Arial" w:hAnsi="Arial" w:cs="Arial"/>
          <w:sz w:val="24"/>
          <w:lang w:val="es-CU"/>
        </w:rPr>
        <w:t>.</w:t>
      </w:r>
    </w:p>
    <w:p w14:paraId="266322FC" w14:textId="3DFE769F"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Uno de los factores clínicos más consistentes es la severidad del déficit neurológico inicial. Los pacientes con ictus extensos, mayor puntuación en escalas como NIHSS, o compromiso motor severo tienen mayor probabilidad de inmovilización prolongada, lo que favorece la estasis venosa en miembros inferiores. La inmovilidad sostenida es, de hecho, uno de los determinantes más importantes en la formación de trombosis venosa profunda, considerada el evento precursor más frecuente del TEP en este grupo de pacientes</w:t>
      </w:r>
      <w:r w:rsidR="00AB20A1">
        <w:rPr>
          <w:rFonts w:ascii="Arial" w:hAnsi="Arial" w:cs="Arial"/>
          <w:sz w:val="24"/>
          <w:vertAlign w:val="superscript"/>
          <w:lang w:val="es-CU"/>
        </w:rPr>
        <w:t>6</w:t>
      </w:r>
      <w:r w:rsidRPr="003D0A63">
        <w:rPr>
          <w:rFonts w:ascii="Arial" w:hAnsi="Arial" w:cs="Arial"/>
          <w:sz w:val="24"/>
          <w:lang w:val="es-CU"/>
        </w:rPr>
        <w:t>.</w:t>
      </w:r>
    </w:p>
    <w:p w14:paraId="4441DE96" w14:textId="66198561"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Otro elemento clínico relevante es la edad avanzada, la cual se asocia no solo a mayor incidencia de ictus, sino también a un estado basal de hipercoagulabilidad relativa, disfunción endotelial y menor reserva cardiopulmonar. En estos pacientes, incluso trombos de menor tamaño pueden tener consecuencias hemodinámicas significativas, aumentando el riesgo de descompensación clínica ante un evento embólico pulmonar</w:t>
      </w:r>
      <w:r w:rsidRPr="004906ED">
        <w:rPr>
          <w:rFonts w:ascii="Arial" w:hAnsi="Arial" w:cs="Arial"/>
          <w:sz w:val="24"/>
          <w:vertAlign w:val="superscript"/>
          <w:lang w:val="es-CU"/>
        </w:rPr>
        <w:t>7</w:t>
      </w:r>
      <w:r w:rsidRPr="003D0A63">
        <w:rPr>
          <w:rFonts w:ascii="Arial" w:hAnsi="Arial" w:cs="Arial"/>
          <w:sz w:val="24"/>
          <w:lang w:val="es-CU"/>
        </w:rPr>
        <w:t>.</w:t>
      </w:r>
    </w:p>
    <w:p w14:paraId="2E04ED72" w14:textId="7FED44ED"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La presencia de comorbilidades cardiovasculares, particularmente fibrilación auricular, insuficiencia cardiaca y enfermedad aterosclerótica avanzada, también incrementa el riesgo de TEP. Estas condiciones reflejan un entorno vascular sistémicamente alterado, donde la disfunción endotelial y la activación plaquetaria son persistentes. Aunque la fibrilación auricular se asocia clásicamente a embolia arterial cerebral, su coexistencia con ictus isquémico suele indicar un perfil cardiovascular global de alto riesgo trombótico</w:t>
      </w:r>
      <w:r w:rsidR="00AB20A1">
        <w:rPr>
          <w:rFonts w:ascii="Arial" w:hAnsi="Arial" w:cs="Arial"/>
          <w:sz w:val="24"/>
          <w:vertAlign w:val="superscript"/>
          <w:lang w:val="es-CU"/>
        </w:rPr>
        <w:t>8</w:t>
      </w:r>
      <w:r w:rsidRPr="003D0A63">
        <w:rPr>
          <w:rFonts w:ascii="Arial" w:hAnsi="Arial" w:cs="Arial"/>
          <w:sz w:val="24"/>
          <w:lang w:val="es-CU"/>
        </w:rPr>
        <w:t>.</w:t>
      </w:r>
    </w:p>
    <w:p w14:paraId="0E15F6CC" w14:textId="43A4DD9D"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 xml:space="preserve">Desde el punto de vista hospitalario, la infección intercurrente (neumonía, infecciones urinarias o sepsis) constituye un factor de riesgo particularmente relevante. La respuesta inflamatoria sistémica induce activación de la coagulación a través de mecanismos de inmunotrombosis, potenciando la formación de trombos venosos. Este fenómeno es </w:t>
      </w:r>
      <w:r w:rsidRPr="003D0A63">
        <w:rPr>
          <w:rFonts w:ascii="Arial" w:hAnsi="Arial" w:cs="Arial"/>
          <w:sz w:val="24"/>
          <w:lang w:val="es-CU"/>
        </w:rPr>
        <w:lastRenderedPageBreak/>
        <w:t>especialmente frecuente en pacientes críticos o con estancia prolongada en unidades de ictus</w:t>
      </w:r>
      <w:r w:rsidR="00AB20A1">
        <w:rPr>
          <w:rFonts w:ascii="Arial" w:hAnsi="Arial" w:cs="Arial"/>
          <w:sz w:val="24"/>
          <w:vertAlign w:val="superscript"/>
          <w:lang w:val="es-CU"/>
        </w:rPr>
        <w:t>9</w:t>
      </w:r>
      <w:r w:rsidRPr="003D0A63">
        <w:rPr>
          <w:rFonts w:ascii="Arial" w:hAnsi="Arial" w:cs="Arial"/>
          <w:sz w:val="24"/>
          <w:lang w:val="es-CU"/>
        </w:rPr>
        <w:t>.</w:t>
      </w:r>
    </w:p>
    <w:p w14:paraId="7BA9B56A" w14:textId="11B62547"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Asimismo, la ausencia o inicio tardío de profilaxis antitrombótica representa un factor modificable de gran impacto clínico. Las guías actuales recomiendan la implementación temprana de medidas farmacológicas o mecánicas en pacientes con ictus isquémico sin contraindicaciones, ya que la falta de profilaxis se asocia a un incremento significativo de eventos tromboembólicos venosos durante la hospitalización</w:t>
      </w:r>
      <w:r w:rsidRPr="004906ED">
        <w:rPr>
          <w:rFonts w:ascii="Arial" w:hAnsi="Arial" w:cs="Arial"/>
          <w:sz w:val="24"/>
          <w:vertAlign w:val="superscript"/>
          <w:lang w:val="es-CU"/>
        </w:rPr>
        <w:t>1</w:t>
      </w:r>
      <w:r w:rsidR="00AB20A1">
        <w:rPr>
          <w:rFonts w:ascii="Arial" w:hAnsi="Arial" w:cs="Arial"/>
          <w:sz w:val="24"/>
          <w:vertAlign w:val="superscript"/>
          <w:lang w:val="es-CU"/>
        </w:rPr>
        <w:t>0</w:t>
      </w:r>
      <w:r w:rsidRPr="003D0A63">
        <w:rPr>
          <w:rFonts w:ascii="Arial" w:hAnsi="Arial" w:cs="Arial"/>
          <w:sz w:val="24"/>
          <w:lang w:val="es-CU"/>
        </w:rPr>
        <w:t>.</w:t>
      </w:r>
    </w:p>
    <w:p w14:paraId="38A1A463" w14:textId="77777777"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Otros factores clínicos descritos incluyen la deshidratación, el estado nutricional deficiente, la presencia de cáncer activo, antecedentes de enfermedad tromboembólica venosa previa y el uso de dispositivos invasivos o ventilación mecánica. Todos estos elementos convergen en un mismo mecanismo fisiopatológico: aumento de la viscosidad sanguínea, activación de la coagulación y reducción del retorno venoso, lo que favorece la formación y migración de trombos hacia la circulación pulmonar.</w:t>
      </w:r>
    </w:p>
    <w:p w14:paraId="2C2C2DA0" w14:textId="77777777"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En conjunto, estos factores de riesgo clínicos no actúan de forma aislada, sino que se potencian entre sí dentro del contexto del ictus isquémico agudo. Por ello, el paciente neurológico hospitalizado debe ser considerado como un sujeto de alto riesgo tromboembólico global, en el cual la estratificación temprana del riesgo de TEP constituye un elemento esencial de la práctica clínica.</w:t>
      </w:r>
    </w:p>
    <w:p w14:paraId="4DEC6FFB" w14:textId="6756BF26"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En los pacientes con enfermedad cerebrovascular isquémica, los factores de riesgo imagenológicos asociados al tromboembolismo pulmonar no deben interpretarse de forma aislada, sino como la expresión objetiva de la gravedad neurológica, la extensión del daño cerebral y el grado de compromiso sistémico. La neuroimagen, junto con los estudios vasculares y cardiopulmonares, permite identificar un subgrupo de pacientes con mayor carga trombótica y mayor probabilidad de complicaciones venosas sistémicas</w:t>
      </w:r>
      <w:r w:rsidRPr="00071935">
        <w:rPr>
          <w:rFonts w:ascii="Arial" w:hAnsi="Arial" w:cs="Arial"/>
          <w:sz w:val="24"/>
          <w:vertAlign w:val="superscript"/>
          <w:lang w:val="es-CU"/>
        </w:rPr>
        <w:t>1</w:t>
      </w:r>
      <w:r w:rsidR="00AB20A1">
        <w:rPr>
          <w:rFonts w:ascii="Arial" w:hAnsi="Arial" w:cs="Arial"/>
          <w:sz w:val="24"/>
          <w:vertAlign w:val="superscript"/>
          <w:lang w:val="es-CU"/>
        </w:rPr>
        <w:t>1</w:t>
      </w:r>
      <w:r w:rsidRPr="003D0A63">
        <w:rPr>
          <w:rFonts w:ascii="Arial" w:hAnsi="Arial" w:cs="Arial"/>
          <w:sz w:val="24"/>
          <w:lang w:val="es-CU"/>
        </w:rPr>
        <w:t>.</w:t>
      </w:r>
    </w:p>
    <w:p w14:paraId="0290C29C" w14:textId="62D0A886"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 xml:space="preserve">Desde el punto de vista de la neuroimagen, los hallazgos más consistentemente </w:t>
      </w:r>
      <w:r w:rsidRPr="003D0A63">
        <w:rPr>
          <w:rFonts w:ascii="Arial" w:hAnsi="Arial" w:cs="Arial"/>
          <w:sz w:val="24"/>
          <w:lang w:val="es-CU"/>
        </w:rPr>
        <w:lastRenderedPageBreak/>
        <w:t>asociados a un mayor riesgo tromboembólico son los infartos cerebrales extensos, particularmente aquellos que involucran territorios de grandes vasos como la arteria cerebral media o múltiples territorios simultáneamente. Estos patrones suelen reflejar oclusiones proximales con mayor severidad clínica, lo que se traduce en inmovilidad prolongada y mayor activación sistémica de la coagulación</w:t>
      </w:r>
      <w:r w:rsidRPr="00071935">
        <w:rPr>
          <w:rFonts w:ascii="Arial" w:hAnsi="Arial" w:cs="Arial"/>
          <w:sz w:val="24"/>
          <w:vertAlign w:val="superscript"/>
          <w:lang w:val="es-CU"/>
        </w:rPr>
        <w:t>1</w:t>
      </w:r>
      <w:r w:rsidR="00AB20A1">
        <w:rPr>
          <w:rFonts w:ascii="Arial" w:hAnsi="Arial" w:cs="Arial"/>
          <w:sz w:val="24"/>
          <w:vertAlign w:val="superscript"/>
          <w:lang w:val="es-CU"/>
        </w:rPr>
        <w:t>2</w:t>
      </w:r>
      <w:r w:rsidRPr="003D0A63">
        <w:rPr>
          <w:rFonts w:ascii="Arial" w:hAnsi="Arial" w:cs="Arial"/>
          <w:sz w:val="24"/>
          <w:lang w:val="es-CU"/>
        </w:rPr>
        <w:t>.</w:t>
      </w:r>
    </w:p>
    <w:p w14:paraId="068686A9" w14:textId="0667835A"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Asimismo, la presencia de edema cerebral significativo, efecto de masa o desviación de estructuras de la línea media se ha relacionado con mayor gravedad del ictus y, por tanto, con mayor riesgo de complicaciones sistémicas durante la hospitalización. Estos hallazgos no actúan directamente como causa del TEP, pero funcionan como marcadores indirectos de un estado clínico de alta gravedad, en el cual confluyen inmovilización, inflamación sistémica y disfunción autonómica</w:t>
      </w:r>
      <w:r w:rsidR="00AB20A1">
        <w:rPr>
          <w:rFonts w:ascii="Arial" w:hAnsi="Arial" w:cs="Arial"/>
          <w:sz w:val="24"/>
          <w:vertAlign w:val="superscript"/>
          <w:lang w:val="es-CU"/>
        </w:rPr>
        <w:t>13</w:t>
      </w:r>
      <w:r w:rsidRPr="003D0A63">
        <w:rPr>
          <w:rFonts w:ascii="Arial" w:hAnsi="Arial" w:cs="Arial"/>
          <w:sz w:val="24"/>
          <w:lang w:val="es-CU"/>
        </w:rPr>
        <w:t>.</w:t>
      </w:r>
    </w:p>
    <w:p w14:paraId="71E8A669" w14:textId="412C4D49"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En el análisis por técnicas de perfusión, los estudios que demuestran áreas extensas de hipoperfusión cerebral con mismatch significativo también se asocian a mayor riesgo de eventos tromboembólicos. Esto se interpreta como expresión de un tejido cerebral en penumbra extensa, que suele corresponder a ictus más severos y con mayor impacto sistémico, lo cual incrementa la probabilidad de complicaciones venosas durante la fase aguda</w:t>
      </w:r>
      <w:r w:rsidR="00AB20A1">
        <w:rPr>
          <w:rFonts w:ascii="Arial" w:hAnsi="Arial" w:cs="Arial"/>
          <w:sz w:val="24"/>
          <w:vertAlign w:val="superscript"/>
          <w:lang w:val="es-CU"/>
        </w:rPr>
        <w:t>14</w:t>
      </w:r>
      <w:r w:rsidRPr="003D0A63">
        <w:rPr>
          <w:rFonts w:ascii="Arial" w:hAnsi="Arial" w:cs="Arial"/>
          <w:sz w:val="24"/>
          <w:lang w:val="es-CU"/>
        </w:rPr>
        <w:t>.</w:t>
      </w:r>
    </w:p>
    <w:p w14:paraId="0544F0A4" w14:textId="4DB5B998"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 xml:space="preserve">Desde el punto de vista vascular, el hallazgo de oclusión de grandes vasos en </w:t>
      </w:r>
      <w:proofErr w:type="spellStart"/>
      <w:r w:rsidRPr="003D0A63">
        <w:rPr>
          <w:rFonts w:ascii="Arial" w:hAnsi="Arial" w:cs="Arial"/>
          <w:sz w:val="24"/>
          <w:lang w:val="es-CU"/>
        </w:rPr>
        <w:t>angio</w:t>
      </w:r>
      <w:proofErr w:type="spellEnd"/>
      <w:r w:rsidRPr="003D0A63">
        <w:rPr>
          <w:rFonts w:ascii="Arial" w:hAnsi="Arial" w:cs="Arial"/>
          <w:sz w:val="24"/>
          <w:lang w:val="es-CU"/>
        </w:rPr>
        <w:t xml:space="preserve">-TC o </w:t>
      </w:r>
      <w:proofErr w:type="spellStart"/>
      <w:r w:rsidRPr="003D0A63">
        <w:rPr>
          <w:rFonts w:ascii="Arial" w:hAnsi="Arial" w:cs="Arial"/>
          <w:sz w:val="24"/>
          <w:lang w:val="es-CU"/>
        </w:rPr>
        <w:t>angio</w:t>
      </w:r>
      <w:proofErr w:type="spellEnd"/>
      <w:r w:rsidRPr="003D0A63">
        <w:rPr>
          <w:rFonts w:ascii="Arial" w:hAnsi="Arial" w:cs="Arial"/>
          <w:sz w:val="24"/>
          <w:lang w:val="es-CU"/>
        </w:rPr>
        <w:t>-RM, especialmente en circulación anterior proximal, se correlaciona con mayor severidad clínica, mayor tiempo de inmovilidad y mayor necesidad de cuidados intensivos. Estos factores, combinados, incrementan significativamente el riesgo de trombosis venosa profunda y su progresión a tromboembolismo pulmonar</w:t>
      </w:r>
      <w:r w:rsidRPr="00071935">
        <w:rPr>
          <w:rFonts w:ascii="Arial" w:hAnsi="Arial" w:cs="Arial"/>
          <w:sz w:val="24"/>
          <w:vertAlign w:val="superscript"/>
          <w:lang w:val="es-CU"/>
        </w:rPr>
        <w:t>1</w:t>
      </w:r>
      <w:r w:rsidR="00AB20A1">
        <w:rPr>
          <w:rFonts w:ascii="Arial" w:hAnsi="Arial" w:cs="Arial"/>
          <w:sz w:val="24"/>
          <w:vertAlign w:val="superscript"/>
          <w:lang w:val="es-CU"/>
        </w:rPr>
        <w:t>0</w:t>
      </w:r>
      <w:r w:rsidRPr="003D0A63">
        <w:rPr>
          <w:rFonts w:ascii="Arial" w:hAnsi="Arial" w:cs="Arial"/>
          <w:sz w:val="24"/>
          <w:lang w:val="es-CU"/>
        </w:rPr>
        <w:t>.</w:t>
      </w:r>
    </w:p>
    <w:p w14:paraId="40D07A80" w14:textId="648769D9"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 xml:space="preserve">En el sistema venoso periférico, la identificación por ultrasonido Doppler de trombosis venosa profunda (TVP), especialmente proximal o </w:t>
      </w:r>
      <w:proofErr w:type="spellStart"/>
      <w:r w:rsidRPr="003D0A63">
        <w:rPr>
          <w:rFonts w:ascii="Arial" w:hAnsi="Arial" w:cs="Arial"/>
          <w:sz w:val="24"/>
          <w:lang w:val="es-CU"/>
        </w:rPr>
        <w:t>iliofemoral</w:t>
      </w:r>
      <w:proofErr w:type="spellEnd"/>
      <w:r w:rsidRPr="003D0A63">
        <w:rPr>
          <w:rFonts w:ascii="Arial" w:hAnsi="Arial" w:cs="Arial"/>
          <w:sz w:val="24"/>
          <w:lang w:val="es-CU"/>
        </w:rPr>
        <w:t xml:space="preserve">, constituye el hallazgo imagenológico más directamente relacionado con el desarrollo de TEP. En el contexto del ictus, este hallazgo adquiere un valor predictivo extremadamente alto, ya que representa </w:t>
      </w:r>
      <w:r w:rsidRPr="003D0A63">
        <w:rPr>
          <w:rFonts w:ascii="Arial" w:hAnsi="Arial" w:cs="Arial"/>
          <w:sz w:val="24"/>
          <w:lang w:val="es-CU"/>
        </w:rPr>
        <w:lastRenderedPageBreak/>
        <w:t>el punto de origen anatómico del embolismo pulmonar en la mayoría de los casos clínicamente relevantes</w:t>
      </w:r>
      <w:r w:rsidR="00AB20A1">
        <w:rPr>
          <w:rFonts w:ascii="Arial" w:hAnsi="Arial" w:cs="Arial"/>
          <w:sz w:val="24"/>
          <w:vertAlign w:val="superscript"/>
          <w:lang w:val="es-CU"/>
        </w:rPr>
        <w:t>4</w:t>
      </w:r>
      <w:r w:rsidRPr="003D0A63">
        <w:rPr>
          <w:rFonts w:ascii="Arial" w:hAnsi="Arial" w:cs="Arial"/>
          <w:sz w:val="24"/>
          <w:lang w:val="es-CU"/>
        </w:rPr>
        <w:t>.</w:t>
      </w:r>
    </w:p>
    <w:p w14:paraId="18F85FD0" w14:textId="78A7DE66"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Por otra parte, en la imagen cardiaca, particularmente mediante ecocardiografía, la presencia de signos indirectos como dilatación del ventrículo derecho o hipertensión pulmonar incipiente puede sugerir la existencia de embolismo pulmonar subclínico o reciente. Aunque no siempre se utiliza de forma sistemática en pacientes con ictus, su valor aumenta en aquellos con deterioro respiratorio inexplicado durante la hospitalización</w:t>
      </w:r>
      <w:r w:rsidR="00AB20A1">
        <w:rPr>
          <w:rFonts w:ascii="Arial" w:hAnsi="Arial" w:cs="Arial"/>
          <w:sz w:val="24"/>
          <w:vertAlign w:val="superscript"/>
          <w:lang w:val="es-CU"/>
        </w:rPr>
        <w:t>4</w:t>
      </w:r>
      <w:r w:rsidRPr="003D0A63">
        <w:rPr>
          <w:rFonts w:ascii="Arial" w:hAnsi="Arial" w:cs="Arial"/>
          <w:sz w:val="24"/>
          <w:lang w:val="es-CU"/>
        </w:rPr>
        <w:t>.</w:t>
      </w:r>
    </w:p>
    <w:p w14:paraId="0B8063D7" w14:textId="77777777" w:rsidR="00EF7F2B" w:rsidRPr="003D0A63" w:rsidRDefault="00EF7F2B" w:rsidP="00EF7F2B">
      <w:pPr>
        <w:spacing w:line="360" w:lineRule="auto"/>
        <w:rPr>
          <w:rFonts w:ascii="Arial" w:hAnsi="Arial" w:cs="Arial"/>
          <w:sz w:val="24"/>
          <w:lang w:val="es-CU"/>
        </w:rPr>
      </w:pPr>
      <w:r w:rsidRPr="003D0A63">
        <w:rPr>
          <w:rFonts w:ascii="Arial" w:hAnsi="Arial" w:cs="Arial"/>
          <w:sz w:val="24"/>
          <w:lang w:val="es-CU"/>
        </w:rPr>
        <w:t>En conjunto, los factores imagenológicos asociados al tromboembolismo pulmonar en el ictus isquémico funcionan como marcadores de gravedad sistémica más que como causas directas, permitiendo identificar pacientes con alto riesgo tromboembólico que se benefician de vigilancia estrecha y estrategias de profilaxis intensificada.</w:t>
      </w:r>
    </w:p>
    <w:p w14:paraId="54C9F716" w14:textId="3BFFBAB7" w:rsidR="0053186D" w:rsidRPr="008A3246" w:rsidRDefault="00AC36BF" w:rsidP="008D0D44">
      <w:pPr>
        <w:spacing w:line="360" w:lineRule="auto"/>
        <w:rPr>
          <w:rFonts w:ascii="Arial" w:hAnsi="Arial" w:cs="Arial"/>
          <w:b/>
          <w:bCs/>
          <w:sz w:val="24"/>
          <w:lang w:val="es-CU"/>
        </w:rPr>
      </w:pPr>
      <w:r w:rsidRPr="008A3246">
        <w:rPr>
          <w:rFonts w:ascii="Arial" w:hAnsi="Arial" w:cs="Arial"/>
          <w:b/>
          <w:bCs/>
          <w:sz w:val="24"/>
          <w:lang w:val="es-CU"/>
        </w:rPr>
        <w:t>Conclusiones</w:t>
      </w:r>
    </w:p>
    <w:p w14:paraId="57ACAE3E" w14:textId="77777777" w:rsidR="0053186D" w:rsidRPr="008D0D44" w:rsidRDefault="00AC36BF" w:rsidP="008D0D44">
      <w:pPr>
        <w:spacing w:line="360" w:lineRule="auto"/>
        <w:rPr>
          <w:rFonts w:ascii="Arial" w:hAnsi="Arial" w:cs="Arial"/>
          <w:sz w:val="24"/>
          <w:lang w:val="es-CU"/>
        </w:rPr>
      </w:pPr>
      <w:r w:rsidRPr="008D0D44">
        <w:rPr>
          <w:rFonts w:ascii="Arial" w:hAnsi="Arial" w:cs="Arial"/>
          <w:sz w:val="24"/>
          <w:lang w:val="es-CU"/>
        </w:rPr>
        <w:t>El tromboembolismo pulmonar constituye una complicación grave en pacientes con enfermedad cerebrova</w:t>
      </w:r>
      <w:r w:rsidRPr="008D0D44">
        <w:rPr>
          <w:rFonts w:ascii="Arial" w:hAnsi="Arial" w:cs="Arial"/>
          <w:sz w:val="24"/>
          <w:lang w:val="es-CU"/>
        </w:rPr>
        <w:t>scular isquémica y se asocia a mayor morbimortalidad hospitalaria.</w:t>
      </w:r>
    </w:p>
    <w:p w14:paraId="025057DB" w14:textId="77777777" w:rsidR="0053186D" w:rsidRPr="008D0D44" w:rsidRDefault="00AC36BF" w:rsidP="008D0D44">
      <w:pPr>
        <w:spacing w:line="360" w:lineRule="auto"/>
        <w:rPr>
          <w:rFonts w:ascii="Arial" w:hAnsi="Arial" w:cs="Arial"/>
          <w:sz w:val="24"/>
          <w:lang w:val="es-CU"/>
        </w:rPr>
      </w:pPr>
      <w:r w:rsidRPr="008D0D44">
        <w:rPr>
          <w:rFonts w:ascii="Arial" w:hAnsi="Arial" w:cs="Arial"/>
          <w:sz w:val="24"/>
          <w:lang w:val="es-CU"/>
        </w:rPr>
        <w:t>Los principales factores clínicos relacionados fueron la severidad del ictus, la inmovilización prolongada, la edad avanzada y las infecciones intrahospitalarias. Entre los factores imagen</w:t>
      </w:r>
      <w:r w:rsidRPr="008D0D44">
        <w:rPr>
          <w:rFonts w:ascii="Arial" w:hAnsi="Arial" w:cs="Arial"/>
          <w:sz w:val="24"/>
          <w:lang w:val="es-CU"/>
        </w:rPr>
        <w:t>ológicos destacaron los infartos extensos, la oclusión de grandes vasos y la trombosis venosa profunda.</w:t>
      </w:r>
    </w:p>
    <w:p w14:paraId="13A56C73" w14:textId="77777777" w:rsidR="00AC36BF" w:rsidRDefault="00AC36BF" w:rsidP="00AC36BF">
      <w:pPr>
        <w:spacing w:line="360" w:lineRule="auto"/>
        <w:rPr>
          <w:rFonts w:ascii="Arial" w:hAnsi="Arial" w:cs="Arial"/>
          <w:sz w:val="24"/>
          <w:lang w:val="es-CU"/>
        </w:rPr>
      </w:pPr>
      <w:r w:rsidRPr="008D0D44">
        <w:rPr>
          <w:rFonts w:ascii="Arial" w:hAnsi="Arial" w:cs="Arial"/>
          <w:sz w:val="24"/>
          <w:lang w:val="es-CU"/>
        </w:rPr>
        <w:t xml:space="preserve">La integración de variables clínicas e imagenológicas favorece la estratificación temprana del riesgo tromboembólico y el </w:t>
      </w:r>
      <w:r w:rsidRPr="008D0D44">
        <w:rPr>
          <w:rFonts w:ascii="Arial" w:hAnsi="Arial" w:cs="Arial"/>
          <w:sz w:val="24"/>
          <w:lang w:val="es-CU"/>
        </w:rPr>
        <w:t>fortalecimiento de las estrategias preventivas en pacientes con ictus isquémico.</w:t>
      </w:r>
    </w:p>
    <w:p w14:paraId="6585476E" w14:textId="27D43942" w:rsidR="00794038" w:rsidRPr="00AC36BF" w:rsidRDefault="00794038" w:rsidP="00AC36BF">
      <w:pPr>
        <w:spacing w:line="360" w:lineRule="auto"/>
        <w:rPr>
          <w:rFonts w:ascii="Arial" w:hAnsi="Arial" w:cs="Arial"/>
          <w:sz w:val="24"/>
          <w:lang w:val="es-CU"/>
        </w:rPr>
      </w:pPr>
      <w:bookmarkStart w:id="0" w:name="_GoBack"/>
      <w:bookmarkEnd w:id="0"/>
      <w:proofErr w:type="spellStart"/>
      <w:r w:rsidRPr="00794038">
        <w:rPr>
          <w:rFonts w:ascii="Arial" w:hAnsi="Arial" w:cs="Arial"/>
          <w:b/>
          <w:bCs/>
          <w:sz w:val="24"/>
          <w:szCs w:val="20"/>
        </w:rPr>
        <w:t>Referencias</w:t>
      </w:r>
      <w:proofErr w:type="spellEnd"/>
      <w:r w:rsidRPr="00794038">
        <w:rPr>
          <w:rFonts w:ascii="Arial" w:hAnsi="Arial" w:cs="Arial"/>
          <w:b/>
          <w:bCs/>
          <w:sz w:val="24"/>
          <w:szCs w:val="20"/>
        </w:rPr>
        <w:t xml:space="preserve"> </w:t>
      </w:r>
      <w:proofErr w:type="spellStart"/>
      <w:r w:rsidRPr="00794038">
        <w:rPr>
          <w:rFonts w:ascii="Arial" w:hAnsi="Arial" w:cs="Arial"/>
          <w:b/>
          <w:bCs/>
          <w:sz w:val="24"/>
          <w:szCs w:val="20"/>
        </w:rPr>
        <w:t>bibliográficas</w:t>
      </w:r>
      <w:proofErr w:type="spellEnd"/>
    </w:p>
    <w:p w14:paraId="0C259AA6"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proofErr w:type="spellStart"/>
      <w:r w:rsidRPr="00AC36BF">
        <w:rPr>
          <w:rFonts w:ascii="Arial" w:hAnsi="Arial" w:cs="Arial"/>
          <w:sz w:val="24"/>
          <w:szCs w:val="24"/>
        </w:rPr>
        <w:t>Pacinella</w:t>
      </w:r>
      <w:proofErr w:type="spellEnd"/>
      <w:r w:rsidRPr="00AC36BF">
        <w:rPr>
          <w:rFonts w:ascii="Arial" w:hAnsi="Arial" w:cs="Arial"/>
          <w:sz w:val="24"/>
          <w:szCs w:val="24"/>
        </w:rPr>
        <w:t xml:space="preserve"> G, </w:t>
      </w:r>
      <w:proofErr w:type="spellStart"/>
      <w:r w:rsidRPr="00AC36BF">
        <w:rPr>
          <w:rFonts w:ascii="Arial" w:hAnsi="Arial" w:cs="Arial"/>
          <w:sz w:val="24"/>
          <w:szCs w:val="24"/>
        </w:rPr>
        <w:t>Ciaccio</w:t>
      </w:r>
      <w:proofErr w:type="spellEnd"/>
      <w:r w:rsidRPr="00AC36BF">
        <w:rPr>
          <w:rFonts w:ascii="Arial" w:hAnsi="Arial" w:cs="Arial"/>
          <w:sz w:val="24"/>
          <w:szCs w:val="24"/>
        </w:rPr>
        <w:t xml:space="preserve"> AM, </w:t>
      </w:r>
      <w:proofErr w:type="spellStart"/>
      <w:r w:rsidRPr="00AC36BF">
        <w:rPr>
          <w:rFonts w:ascii="Arial" w:hAnsi="Arial" w:cs="Arial"/>
          <w:sz w:val="24"/>
          <w:szCs w:val="24"/>
        </w:rPr>
        <w:t>Tuttolomondo</w:t>
      </w:r>
      <w:proofErr w:type="spellEnd"/>
      <w:r w:rsidRPr="00AC36BF">
        <w:rPr>
          <w:rFonts w:ascii="Arial" w:hAnsi="Arial" w:cs="Arial"/>
          <w:sz w:val="24"/>
          <w:szCs w:val="24"/>
        </w:rPr>
        <w:t xml:space="preserve"> A. Molecular Links and Clinical Effects of Inflammation and Metabolic Background on Ischemic Stroke: An Update Review. </w:t>
      </w:r>
      <w:r w:rsidRPr="00AC36BF">
        <w:rPr>
          <w:rFonts w:ascii="Arial" w:hAnsi="Arial" w:cs="Arial"/>
          <w:sz w:val="24"/>
          <w:szCs w:val="24"/>
          <w:lang w:val="es-CU"/>
        </w:rPr>
        <w:t xml:space="preserve">J </w:t>
      </w:r>
      <w:r w:rsidRPr="00AC36BF">
        <w:rPr>
          <w:rFonts w:ascii="Arial" w:hAnsi="Arial" w:cs="Arial"/>
          <w:sz w:val="24"/>
          <w:szCs w:val="24"/>
          <w:lang w:val="es-CU"/>
        </w:rPr>
        <w:lastRenderedPageBreak/>
        <w:t xml:space="preserve">Clin </w:t>
      </w:r>
      <w:proofErr w:type="spellStart"/>
      <w:r w:rsidRPr="00AC36BF">
        <w:rPr>
          <w:rFonts w:ascii="Arial" w:hAnsi="Arial" w:cs="Arial"/>
          <w:sz w:val="24"/>
          <w:szCs w:val="24"/>
          <w:lang w:val="es-CU"/>
        </w:rPr>
        <w:t>Med</w:t>
      </w:r>
      <w:proofErr w:type="spellEnd"/>
      <w:r w:rsidRPr="00AC36BF">
        <w:rPr>
          <w:rFonts w:ascii="Arial" w:hAnsi="Arial" w:cs="Arial"/>
          <w:sz w:val="24"/>
          <w:szCs w:val="24"/>
          <w:lang w:val="es-CU"/>
        </w:rPr>
        <w:t xml:space="preserve"> </w:t>
      </w:r>
      <w:r w:rsidRPr="00AC36BF">
        <w:rPr>
          <w:rFonts w:ascii="Arial" w:hAnsi="Arial" w:cs="Arial"/>
          <w:color w:val="000000"/>
          <w:sz w:val="24"/>
          <w:szCs w:val="24"/>
          <w:lang w:val="es-CU"/>
        </w:rPr>
        <w:t>[Internet]</w:t>
      </w:r>
      <w:r w:rsidRPr="00AC36BF">
        <w:rPr>
          <w:rFonts w:ascii="Arial" w:hAnsi="Arial" w:cs="Arial"/>
          <w:sz w:val="24"/>
          <w:szCs w:val="24"/>
          <w:lang w:val="es-CU"/>
        </w:rPr>
        <w:t>. 2024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;13(24):7515. Disponible en:  </w:t>
      </w:r>
      <w:hyperlink r:id="rId10" w:history="1">
        <w:r w:rsidRPr="00AC36BF">
          <w:rPr>
            <w:rStyle w:val="Hipervnculo"/>
            <w:rFonts w:ascii="Arial" w:hAnsi="Arial" w:cs="Arial"/>
            <w:sz w:val="24"/>
            <w:szCs w:val="24"/>
            <w:lang w:val="es-CU"/>
          </w:rPr>
          <w:t>https://doi:10.3390/jcm13247515</w:t>
        </w:r>
      </w:hyperlink>
      <w:r w:rsidRPr="00AC36BF">
        <w:rPr>
          <w:rFonts w:ascii="Arial" w:hAnsi="Arial" w:cs="Arial"/>
          <w:sz w:val="24"/>
          <w:szCs w:val="24"/>
          <w:lang w:val="es-CU"/>
        </w:rPr>
        <w:t xml:space="preserve">  </w:t>
      </w:r>
    </w:p>
    <w:p w14:paraId="5733D7DD" w14:textId="5089AB15" w:rsidR="00794038" w:rsidRPr="00AC36BF" w:rsidRDefault="00AC36BF" w:rsidP="00AC36BF">
      <w:pPr>
        <w:pStyle w:val="Prrafodelista"/>
        <w:numPr>
          <w:ilvl w:val="0"/>
          <w:numId w:val="2"/>
        </w:numPr>
        <w:spacing w:line="360" w:lineRule="auto"/>
        <w:jc w:val="both"/>
        <w:rPr>
          <w:rStyle w:val="Hipervnculo"/>
          <w:rFonts w:ascii="Arial" w:hAnsi="Arial" w:cs="Arial"/>
          <w:color w:val="auto"/>
          <w:sz w:val="24"/>
          <w:szCs w:val="24"/>
          <w:u w:val="none"/>
          <w:lang w:val="es-CU" w:eastAsia="en-US"/>
        </w:rPr>
      </w:pPr>
      <w:proofErr w:type="spellStart"/>
      <w:r w:rsidRPr="00AC36BF">
        <w:rPr>
          <w:rFonts w:ascii="Arial" w:hAnsi="Arial" w:cs="Arial"/>
          <w:sz w:val="24"/>
          <w:szCs w:val="24"/>
        </w:rPr>
        <w:t>Feigin</w:t>
      </w:r>
      <w:proofErr w:type="spellEnd"/>
      <w:r w:rsidRPr="00AC36BF">
        <w:rPr>
          <w:rFonts w:ascii="Arial" w:hAnsi="Arial" w:cs="Arial"/>
          <w:sz w:val="24"/>
          <w:szCs w:val="24"/>
        </w:rPr>
        <w:t xml:space="preserve"> VL, Stark BA, Johnson CO, Roth GA, </w:t>
      </w:r>
      <w:proofErr w:type="spellStart"/>
      <w:r w:rsidRPr="00AC36BF">
        <w:rPr>
          <w:rFonts w:ascii="Arial" w:hAnsi="Arial" w:cs="Arial"/>
          <w:sz w:val="24"/>
          <w:szCs w:val="24"/>
        </w:rPr>
        <w:t>Bisignano</w:t>
      </w:r>
      <w:proofErr w:type="spellEnd"/>
      <w:r w:rsidRPr="00AC36BF">
        <w:rPr>
          <w:rFonts w:ascii="Arial" w:hAnsi="Arial" w:cs="Arial"/>
          <w:sz w:val="24"/>
          <w:szCs w:val="24"/>
        </w:rPr>
        <w:t xml:space="preserve"> C, </w:t>
      </w:r>
      <w:proofErr w:type="spellStart"/>
      <w:r w:rsidRPr="00AC36BF">
        <w:rPr>
          <w:rFonts w:ascii="Arial" w:hAnsi="Arial" w:cs="Arial"/>
          <w:sz w:val="24"/>
          <w:szCs w:val="24"/>
        </w:rPr>
        <w:t>Abady</w:t>
      </w:r>
      <w:proofErr w:type="spellEnd"/>
      <w:r w:rsidRPr="00AC36BF">
        <w:rPr>
          <w:rFonts w:ascii="Arial" w:hAnsi="Arial" w:cs="Arial"/>
          <w:sz w:val="24"/>
          <w:szCs w:val="24"/>
        </w:rPr>
        <w:t xml:space="preserve"> GG, et al. Global, regional, and national burden of stroke and its risk factors, 1990-2021: a systematic analysis for the Global Burden of Disease Study </w:t>
      </w:r>
      <w:r w:rsidRPr="00AC36BF">
        <w:rPr>
          <w:rFonts w:ascii="Arial" w:hAnsi="Arial" w:cs="Arial"/>
          <w:color w:val="000000"/>
          <w:sz w:val="24"/>
          <w:szCs w:val="24"/>
        </w:rPr>
        <w:t>2021</w:t>
      </w:r>
      <w:r w:rsidRPr="00AC36BF">
        <w:rPr>
          <w:rFonts w:ascii="Arial" w:hAnsi="Arial" w:cs="Arial"/>
          <w:sz w:val="24"/>
          <w:szCs w:val="24"/>
        </w:rPr>
        <w:t xml:space="preserve">. </w:t>
      </w:r>
      <w:r w:rsidRPr="00AC36BF">
        <w:rPr>
          <w:rFonts w:ascii="Arial" w:hAnsi="Arial" w:cs="Arial"/>
          <w:sz w:val="24"/>
          <w:szCs w:val="24"/>
          <w:lang w:val="es-CU"/>
        </w:rPr>
        <w:t xml:space="preserve">Lancet Neurol. </w:t>
      </w:r>
      <w:r w:rsidRPr="00AC36BF">
        <w:rPr>
          <w:rFonts w:ascii="Arial" w:hAnsi="Arial" w:cs="Arial"/>
          <w:color w:val="000000"/>
          <w:sz w:val="24"/>
          <w:szCs w:val="24"/>
          <w:lang w:val="es-CU"/>
        </w:rPr>
        <w:t xml:space="preserve">[Internet] </w:t>
      </w:r>
      <w:r w:rsidRPr="00AC36BF">
        <w:rPr>
          <w:rFonts w:ascii="Arial" w:hAnsi="Arial" w:cs="Arial"/>
          <w:sz w:val="24"/>
          <w:szCs w:val="24"/>
          <w:lang w:val="es-CU"/>
        </w:rPr>
        <w:t>2024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;23(10):973-1003. Disponible en: </w:t>
      </w:r>
      <w:hyperlink r:id="rId11" w:history="1">
        <w:r w:rsidRPr="00AC36BF">
          <w:rPr>
            <w:rStyle w:val="Hipervnculo"/>
            <w:rFonts w:ascii="Arial" w:hAnsi="Arial" w:cs="Arial"/>
            <w:sz w:val="24"/>
            <w:szCs w:val="24"/>
            <w:lang w:val="es-CU"/>
          </w:rPr>
          <w:t>https://doi:10.1016/S1474-4422(24)00275-6</w:t>
        </w:r>
      </w:hyperlink>
    </w:p>
    <w:p w14:paraId="794AF1F3"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proofErr w:type="spellStart"/>
      <w:r w:rsidRPr="00AC36BF">
        <w:rPr>
          <w:rFonts w:ascii="Arial" w:hAnsi="Arial" w:cs="Arial"/>
          <w:sz w:val="24"/>
          <w:szCs w:val="24"/>
          <w:lang w:val="es-CU"/>
        </w:rPr>
        <w:t>Kearon</w:t>
      </w:r>
      <w:proofErr w:type="spellEnd"/>
      <w:r w:rsidRPr="00AC36BF">
        <w:rPr>
          <w:rFonts w:ascii="Arial" w:hAnsi="Arial" w:cs="Arial"/>
          <w:sz w:val="24"/>
          <w:szCs w:val="24"/>
          <w:lang w:val="es-CU"/>
        </w:rPr>
        <w:t xml:space="preserve"> C, </w:t>
      </w:r>
      <w:proofErr w:type="spellStart"/>
      <w:r w:rsidRPr="00AC36BF">
        <w:rPr>
          <w:rFonts w:ascii="Arial" w:hAnsi="Arial" w:cs="Arial"/>
          <w:sz w:val="24"/>
          <w:szCs w:val="24"/>
          <w:lang w:val="es-CU"/>
        </w:rPr>
        <w:t>Akl</w:t>
      </w:r>
      <w:proofErr w:type="spellEnd"/>
      <w:r w:rsidRPr="00AC36BF">
        <w:rPr>
          <w:rFonts w:ascii="Arial" w:hAnsi="Arial" w:cs="Arial"/>
          <w:sz w:val="24"/>
          <w:szCs w:val="24"/>
          <w:lang w:val="es-CU"/>
        </w:rPr>
        <w:t xml:space="preserve"> EA, Ornelas J, et al. </w:t>
      </w:r>
      <w:r w:rsidRPr="00AC36BF">
        <w:rPr>
          <w:rFonts w:ascii="Arial" w:hAnsi="Arial" w:cs="Arial"/>
          <w:sz w:val="24"/>
          <w:szCs w:val="24"/>
        </w:rPr>
        <w:t xml:space="preserve">Antithrombotic Therapy for VTE Disease: CHEST Guideline and Expert Panel Report. </w:t>
      </w:r>
      <w:proofErr w:type="spellStart"/>
      <w:r w:rsidRPr="00AC36BF">
        <w:rPr>
          <w:rFonts w:ascii="Arial" w:hAnsi="Arial" w:cs="Arial"/>
          <w:sz w:val="24"/>
          <w:szCs w:val="24"/>
          <w:lang w:val="es-CU"/>
        </w:rPr>
        <w:t>Chest</w:t>
      </w:r>
      <w:proofErr w:type="spellEnd"/>
      <w:r w:rsidRPr="00AC36BF">
        <w:rPr>
          <w:rFonts w:ascii="Arial" w:hAnsi="Arial" w:cs="Arial"/>
          <w:sz w:val="24"/>
          <w:szCs w:val="24"/>
          <w:lang w:val="es-CU"/>
        </w:rPr>
        <w:t>.</w:t>
      </w:r>
      <w:r w:rsidRPr="00AC36BF">
        <w:rPr>
          <w:rFonts w:ascii="Arial" w:hAnsi="Arial" w:cs="Arial"/>
          <w:color w:val="000000"/>
          <w:sz w:val="24"/>
          <w:szCs w:val="24"/>
          <w:lang w:val="es-CU"/>
        </w:rPr>
        <w:t xml:space="preserve"> [Internet]</w:t>
      </w:r>
      <w:r w:rsidRPr="00AC36BF">
        <w:rPr>
          <w:rFonts w:ascii="Arial" w:hAnsi="Arial" w:cs="Arial"/>
          <w:sz w:val="24"/>
          <w:szCs w:val="24"/>
          <w:lang w:val="es-CU"/>
        </w:rPr>
        <w:t xml:space="preserve"> 2016[Consultado el 25 de marzo de 2026</w:t>
      </w:r>
      <w:r w:rsidRPr="00AC36BF">
        <w:rPr>
          <w:rFonts w:ascii="Arial" w:hAnsi="Arial" w:cs="Arial"/>
          <w:color w:val="000000"/>
          <w:sz w:val="24"/>
          <w:szCs w:val="24"/>
          <w:lang w:val="es-CU"/>
        </w:rPr>
        <w:t xml:space="preserve">] </w:t>
      </w:r>
      <w:r w:rsidRPr="00AC36BF">
        <w:rPr>
          <w:rFonts w:ascii="Arial" w:hAnsi="Arial" w:cs="Arial"/>
          <w:sz w:val="24"/>
          <w:szCs w:val="24"/>
          <w:lang w:val="es-CU"/>
        </w:rPr>
        <w:t xml:space="preserve">;149(2):315–352. Disponible en: </w:t>
      </w:r>
      <w:hyperlink r:id="rId12" w:history="1">
        <w:r w:rsidRPr="00AC36BF">
          <w:rPr>
            <w:rStyle w:val="Hipervnculo"/>
            <w:rFonts w:ascii="Arial" w:hAnsi="Arial" w:cs="Arial"/>
            <w:sz w:val="24"/>
            <w:szCs w:val="24"/>
            <w:lang w:val="es-CU"/>
          </w:rPr>
          <w:t>https://doi:10.1016/j.chest.2015.11.026</w:t>
        </w:r>
      </w:hyperlink>
      <w:r w:rsidRPr="00AC36BF">
        <w:rPr>
          <w:rFonts w:ascii="Arial" w:hAnsi="Arial" w:cs="Arial"/>
          <w:sz w:val="24"/>
          <w:szCs w:val="24"/>
          <w:lang w:val="es-CU"/>
        </w:rPr>
        <w:t xml:space="preserve"> </w:t>
      </w:r>
    </w:p>
    <w:p w14:paraId="685E78B1"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proofErr w:type="spellStart"/>
      <w:r w:rsidRPr="00AC36BF">
        <w:rPr>
          <w:rFonts w:ascii="Arial" w:hAnsi="Arial" w:cs="Arial"/>
          <w:sz w:val="24"/>
          <w:szCs w:val="24"/>
        </w:rPr>
        <w:t>Konstantinides</w:t>
      </w:r>
      <w:proofErr w:type="spellEnd"/>
      <w:r w:rsidRPr="00AC36BF">
        <w:rPr>
          <w:rFonts w:ascii="Arial" w:hAnsi="Arial" w:cs="Arial"/>
          <w:sz w:val="24"/>
          <w:szCs w:val="24"/>
        </w:rPr>
        <w:t xml:space="preserve"> SV, Meyer G, </w:t>
      </w:r>
      <w:proofErr w:type="spellStart"/>
      <w:r w:rsidRPr="00AC36BF">
        <w:rPr>
          <w:rFonts w:ascii="Arial" w:hAnsi="Arial" w:cs="Arial"/>
          <w:sz w:val="24"/>
          <w:szCs w:val="24"/>
        </w:rPr>
        <w:t>Becattini</w:t>
      </w:r>
      <w:proofErr w:type="spellEnd"/>
      <w:r w:rsidRPr="00AC36BF">
        <w:rPr>
          <w:rFonts w:ascii="Arial" w:hAnsi="Arial" w:cs="Arial"/>
          <w:sz w:val="24"/>
          <w:szCs w:val="24"/>
        </w:rPr>
        <w:t xml:space="preserve"> C, et al. 2019 ESC Guidelines for the diagnosis and management of acute pulmonary embolism. </w:t>
      </w:r>
      <w:proofErr w:type="spellStart"/>
      <w:r w:rsidRPr="00AC36BF">
        <w:rPr>
          <w:rFonts w:ascii="Arial" w:hAnsi="Arial" w:cs="Arial"/>
          <w:sz w:val="24"/>
          <w:szCs w:val="24"/>
          <w:lang w:val="es-CU"/>
        </w:rPr>
        <w:t>Eur</w:t>
      </w:r>
      <w:proofErr w:type="spellEnd"/>
      <w:r w:rsidRPr="00AC36BF">
        <w:rPr>
          <w:rFonts w:ascii="Arial" w:hAnsi="Arial" w:cs="Arial"/>
          <w:sz w:val="24"/>
          <w:szCs w:val="24"/>
          <w:lang w:val="es-CU"/>
        </w:rPr>
        <w:t xml:space="preserve"> Heart J. </w:t>
      </w:r>
      <w:r w:rsidRPr="00AC36BF">
        <w:rPr>
          <w:rFonts w:ascii="Arial" w:hAnsi="Arial" w:cs="Arial"/>
          <w:color w:val="000000"/>
          <w:sz w:val="24"/>
          <w:szCs w:val="24"/>
          <w:lang w:val="es-CU"/>
        </w:rPr>
        <w:t xml:space="preserve">[Internet] </w:t>
      </w:r>
      <w:r w:rsidRPr="00AC36BF">
        <w:rPr>
          <w:rFonts w:ascii="Arial" w:hAnsi="Arial" w:cs="Arial"/>
          <w:sz w:val="24"/>
          <w:szCs w:val="24"/>
          <w:lang w:val="es-CU"/>
        </w:rPr>
        <w:t>2020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;41(4):543–603. Disponible en: </w:t>
      </w:r>
      <w:hyperlink r:id="rId13" w:history="1">
        <w:r w:rsidRPr="00AC36BF">
          <w:rPr>
            <w:rStyle w:val="Hipervnculo"/>
            <w:rFonts w:ascii="Arial" w:hAnsi="Arial" w:cs="Arial"/>
            <w:sz w:val="24"/>
            <w:szCs w:val="24"/>
            <w:lang w:val="es-CU"/>
          </w:rPr>
          <w:t>https://doi:10.1093/eurheartj/ehz405</w:t>
        </w:r>
      </w:hyperlink>
      <w:r w:rsidRPr="00AC36BF">
        <w:rPr>
          <w:rFonts w:ascii="Arial" w:hAnsi="Arial" w:cs="Arial"/>
          <w:sz w:val="24"/>
          <w:szCs w:val="24"/>
          <w:lang w:val="es-CU"/>
        </w:rPr>
        <w:t xml:space="preserve"> </w:t>
      </w:r>
    </w:p>
    <w:p w14:paraId="0B4917C3"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r w:rsidRPr="00AC36BF">
        <w:rPr>
          <w:rFonts w:ascii="Arial" w:hAnsi="Arial" w:cs="Arial"/>
          <w:sz w:val="24"/>
          <w:szCs w:val="24"/>
        </w:rPr>
        <w:t xml:space="preserve">Chen D, Yang Y, Bhaskar SM. Pulmonary Embolism After Acute </w:t>
      </w:r>
      <w:proofErr w:type="spellStart"/>
      <w:r w:rsidRPr="00AC36BF">
        <w:rPr>
          <w:rFonts w:ascii="Arial" w:hAnsi="Arial" w:cs="Arial"/>
          <w:sz w:val="24"/>
          <w:szCs w:val="24"/>
        </w:rPr>
        <w:t>Ischaemic</w:t>
      </w:r>
      <w:proofErr w:type="spellEnd"/>
      <w:r w:rsidRPr="00AC36BF">
        <w:rPr>
          <w:rFonts w:ascii="Arial" w:hAnsi="Arial" w:cs="Arial"/>
          <w:sz w:val="24"/>
          <w:szCs w:val="24"/>
        </w:rPr>
        <w:t xml:space="preserve"> Stroke (PEARL-AIS): Global Prevalence, Risk Factors, Outcomes, and Evidence Grading from a Meta-Analysis. </w:t>
      </w:r>
      <w:proofErr w:type="spellStart"/>
      <w:r w:rsidRPr="00AC36BF">
        <w:rPr>
          <w:rFonts w:ascii="Arial" w:hAnsi="Arial" w:cs="Arial"/>
          <w:sz w:val="24"/>
          <w:szCs w:val="24"/>
          <w:lang w:val="es-CU"/>
        </w:rPr>
        <w:t>Neurology</w:t>
      </w:r>
      <w:proofErr w:type="spellEnd"/>
      <w:r w:rsidRPr="00AC36BF">
        <w:rPr>
          <w:rFonts w:ascii="Arial" w:hAnsi="Arial" w:cs="Arial"/>
          <w:sz w:val="24"/>
          <w:szCs w:val="24"/>
          <w:lang w:val="es-CU"/>
        </w:rPr>
        <w:t xml:space="preserve"> International.</w:t>
      </w:r>
      <w:r w:rsidRPr="00AC36BF">
        <w:rPr>
          <w:rFonts w:ascii="Arial" w:hAnsi="Arial" w:cs="Arial"/>
          <w:color w:val="000000"/>
          <w:sz w:val="24"/>
          <w:szCs w:val="24"/>
          <w:lang w:val="es-CU"/>
        </w:rPr>
        <w:t xml:space="preserve"> [Internet]</w:t>
      </w:r>
      <w:r w:rsidRPr="00AC36BF">
        <w:rPr>
          <w:rFonts w:ascii="Arial" w:hAnsi="Arial" w:cs="Arial"/>
          <w:sz w:val="24"/>
          <w:szCs w:val="24"/>
          <w:lang w:val="es-CU"/>
        </w:rPr>
        <w:t xml:space="preserve"> 2025[Consultado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;17(10):168. Disponible en: </w:t>
      </w:r>
      <w:hyperlink r:id="rId14" w:history="1">
        <w:r w:rsidRPr="00AC36BF">
          <w:rPr>
            <w:rStyle w:val="Hipervnculo"/>
            <w:rFonts w:ascii="Arial" w:hAnsi="Arial" w:cs="Arial"/>
            <w:sz w:val="24"/>
            <w:szCs w:val="24"/>
            <w:lang w:val="es-CU"/>
          </w:rPr>
          <w:t>https://doi:10.3390/neurolint17100168</w:t>
        </w:r>
      </w:hyperlink>
      <w:r w:rsidRPr="00AC36BF">
        <w:rPr>
          <w:rFonts w:ascii="Arial" w:hAnsi="Arial" w:cs="Arial"/>
          <w:sz w:val="24"/>
          <w:szCs w:val="24"/>
          <w:lang w:val="es-CU"/>
        </w:rPr>
        <w:t xml:space="preserve"> </w:t>
      </w:r>
    </w:p>
    <w:p w14:paraId="30408300"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r w:rsidRPr="00AC36BF">
        <w:rPr>
          <w:rFonts w:ascii="Arial" w:hAnsi="Arial" w:cs="Arial"/>
          <w:sz w:val="24"/>
          <w:szCs w:val="24"/>
        </w:rPr>
        <w:t xml:space="preserve">Piazza G. Advanced management of venous thromboembolism in hospitalized patients. </w:t>
      </w:r>
      <w:proofErr w:type="spellStart"/>
      <w:r w:rsidRPr="00AC36BF">
        <w:rPr>
          <w:rFonts w:ascii="Arial" w:hAnsi="Arial" w:cs="Arial"/>
          <w:sz w:val="24"/>
          <w:szCs w:val="24"/>
          <w:lang w:val="es-CU"/>
        </w:rPr>
        <w:t>Circulation</w:t>
      </w:r>
      <w:proofErr w:type="spellEnd"/>
      <w:r w:rsidRPr="00AC36BF">
        <w:rPr>
          <w:rFonts w:ascii="Arial" w:hAnsi="Arial" w:cs="Arial"/>
          <w:sz w:val="24"/>
          <w:szCs w:val="24"/>
          <w:lang w:val="es-CU"/>
        </w:rPr>
        <w:t xml:space="preserve">. </w:t>
      </w:r>
      <w:r w:rsidRPr="00AC36BF">
        <w:rPr>
          <w:rFonts w:ascii="Arial" w:hAnsi="Arial" w:cs="Arial"/>
          <w:color w:val="000000"/>
          <w:sz w:val="24"/>
          <w:szCs w:val="24"/>
          <w:lang w:val="es-CU"/>
        </w:rPr>
        <w:t>[Internet]</w:t>
      </w:r>
      <w:r w:rsidRPr="00AC36BF">
        <w:rPr>
          <w:rFonts w:ascii="Arial" w:hAnsi="Arial" w:cs="Arial"/>
          <w:sz w:val="24"/>
          <w:szCs w:val="24"/>
          <w:lang w:val="es-CU"/>
        </w:rPr>
        <w:t xml:space="preserve"> 2023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;147(10</w:t>
      </w:r>
      <w:proofErr w:type="gramStart"/>
      <w:r w:rsidRPr="00AC36BF">
        <w:rPr>
          <w:rFonts w:ascii="Arial" w:hAnsi="Arial" w:cs="Arial"/>
          <w:sz w:val="24"/>
          <w:szCs w:val="24"/>
          <w:lang w:val="es-CU"/>
        </w:rPr>
        <w:t>):e</w:t>
      </w:r>
      <w:proofErr w:type="gramEnd"/>
      <w:r w:rsidRPr="00AC36BF">
        <w:rPr>
          <w:rFonts w:ascii="Arial" w:hAnsi="Arial" w:cs="Arial"/>
          <w:sz w:val="24"/>
          <w:szCs w:val="24"/>
          <w:lang w:val="es-CU"/>
        </w:rPr>
        <w:t xml:space="preserve">1–e18. Disponible en: </w:t>
      </w:r>
      <w:hyperlink r:id="rId15" w:history="1">
        <w:r w:rsidRPr="00AC36BF">
          <w:rPr>
            <w:rStyle w:val="Hipervnculo"/>
            <w:rFonts w:ascii="Arial" w:hAnsi="Arial" w:cs="Arial"/>
            <w:sz w:val="24"/>
            <w:szCs w:val="24"/>
            <w:lang w:val="es-CU"/>
          </w:rPr>
          <w:t>https://doi:10.1161/CIRCULATIONAHA.122.061998</w:t>
        </w:r>
      </w:hyperlink>
      <w:r w:rsidRPr="00AC36BF">
        <w:rPr>
          <w:rFonts w:ascii="Arial" w:hAnsi="Arial" w:cs="Arial"/>
          <w:sz w:val="24"/>
          <w:szCs w:val="24"/>
          <w:lang w:val="es-CU"/>
        </w:rPr>
        <w:t xml:space="preserve"> </w:t>
      </w:r>
    </w:p>
    <w:p w14:paraId="166065CF"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proofErr w:type="spellStart"/>
      <w:r w:rsidRPr="00AC36BF">
        <w:rPr>
          <w:rFonts w:ascii="Arial" w:hAnsi="Arial" w:cs="Arial"/>
          <w:sz w:val="24"/>
          <w:szCs w:val="24"/>
        </w:rPr>
        <w:t>Klok</w:t>
      </w:r>
      <w:proofErr w:type="spellEnd"/>
      <w:r w:rsidRPr="00AC36BF">
        <w:rPr>
          <w:rFonts w:ascii="Arial" w:hAnsi="Arial" w:cs="Arial"/>
          <w:sz w:val="24"/>
          <w:szCs w:val="24"/>
        </w:rPr>
        <w:t xml:space="preserve"> FA, Barco S, </w:t>
      </w:r>
      <w:proofErr w:type="spellStart"/>
      <w:r w:rsidRPr="00AC36BF">
        <w:rPr>
          <w:rFonts w:ascii="Arial" w:hAnsi="Arial" w:cs="Arial"/>
          <w:sz w:val="24"/>
          <w:szCs w:val="24"/>
        </w:rPr>
        <w:t>Konstantinides</w:t>
      </w:r>
      <w:proofErr w:type="spellEnd"/>
      <w:r w:rsidRPr="00AC36BF">
        <w:rPr>
          <w:rFonts w:ascii="Arial" w:hAnsi="Arial" w:cs="Arial"/>
          <w:sz w:val="24"/>
          <w:szCs w:val="24"/>
        </w:rPr>
        <w:t xml:space="preserve"> SV. Ventilation–perfusion mismatch in acute pulmonary embolism: mechanisms and clinical implications. </w:t>
      </w:r>
      <w:proofErr w:type="spellStart"/>
      <w:r w:rsidRPr="00AC36BF">
        <w:rPr>
          <w:rFonts w:ascii="Arial" w:hAnsi="Arial" w:cs="Arial"/>
          <w:sz w:val="24"/>
          <w:szCs w:val="24"/>
          <w:lang w:val="es-CU"/>
        </w:rPr>
        <w:t>Eur</w:t>
      </w:r>
      <w:proofErr w:type="spellEnd"/>
      <w:r w:rsidRPr="00AC36BF">
        <w:rPr>
          <w:rFonts w:ascii="Arial" w:hAnsi="Arial" w:cs="Arial"/>
          <w:sz w:val="24"/>
          <w:szCs w:val="24"/>
          <w:lang w:val="es-CU"/>
        </w:rPr>
        <w:t xml:space="preserve"> </w:t>
      </w:r>
      <w:proofErr w:type="spellStart"/>
      <w:r w:rsidRPr="00AC36BF">
        <w:rPr>
          <w:rFonts w:ascii="Arial" w:hAnsi="Arial" w:cs="Arial"/>
          <w:sz w:val="24"/>
          <w:szCs w:val="24"/>
          <w:lang w:val="es-CU"/>
        </w:rPr>
        <w:t>Respir</w:t>
      </w:r>
      <w:proofErr w:type="spellEnd"/>
      <w:r w:rsidRPr="00AC36BF">
        <w:rPr>
          <w:rFonts w:ascii="Arial" w:hAnsi="Arial" w:cs="Arial"/>
          <w:sz w:val="24"/>
          <w:szCs w:val="24"/>
          <w:lang w:val="es-CU"/>
        </w:rPr>
        <w:t xml:space="preserve"> Rev.</w:t>
      </w:r>
      <w:r w:rsidRPr="00AC36BF">
        <w:rPr>
          <w:rFonts w:ascii="Arial" w:hAnsi="Arial" w:cs="Arial"/>
          <w:color w:val="000000"/>
          <w:sz w:val="24"/>
          <w:szCs w:val="24"/>
          <w:lang w:val="es-CU"/>
        </w:rPr>
        <w:t xml:space="preserve"> [Internet</w:t>
      </w:r>
      <w:proofErr w:type="gramStart"/>
      <w:r w:rsidRPr="00AC36BF">
        <w:rPr>
          <w:rFonts w:ascii="Arial" w:hAnsi="Arial" w:cs="Arial"/>
          <w:color w:val="000000"/>
          <w:sz w:val="24"/>
          <w:szCs w:val="24"/>
          <w:lang w:val="es-CU"/>
        </w:rPr>
        <w:t>]</w:t>
      </w:r>
      <w:r w:rsidRPr="00AC36BF">
        <w:rPr>
          <w:rFonts w:ascii="Arial" w:hAnsi="Arial" w:cs="Arial"/>
          <w:sz w:val="24"/>
          <w:szCs w:val="24"/>
          <w:lang w:val="es-CU"/>
        </w:rPr>
        <w:t xml:space="preserve">  2022</w:t>
      </w:r>
      <w:proofErr w:type="gramEnd"/>
      <w:r w:rsidRPr="00AC36BF">
        <w:rPr>
          <w:rFonts w:ascii="Arial" w:hAnsi="Arial" w:cs="Arial"/>
          <w:sz w:val="24"/>
          <w:szCs w:val="24"/>
          <w:lang w:val="es-CU"/>
        </w:rPr>
        <w:t xml:space="preserve">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;31(165):220065. Disponible en: </w:t>
      </w:r>
      <w:hyperlink r:id="rId16" w:history="1">
        <w:r w:rsidRPr="00AC36BF">
          <w:rPr>
            <w:rStyle w:val="Hipervnculo"/>
            <w:rFonts w:ascii="Arial" w:hAnsi="Arial" w:cs="Arial"/>
            <w:sz w:val="24"/>
            <w:szCs w:val="24"/>
            <w:lang w:val="es-CU"/>
          </w:rPr>
          <w:t>https://doi:10.1183/16000617.0065-2022</w:t>
        </w:r>
      </w:hyperlink>
      <w:r w:rsidRPr="00AC36BF">
        <w:rPr>
          <w:rFonts w:ascii="Arial" w:hAnsi="Arial" w:cs="Arial"/>
          <w:sz w:val="24"/>
          <w:szCs w:val="24"/>
          <w:lang w:val="es-CU"/>
        </w:rPr>
        <w:t xml:space="preserve"> </w:t>
      </w:r>
    </w:p>
    <w:p w14:paraId="4C75298F" w14:textId="68F3EEE0" w:rsidR="00AC36BF" w:rsidRPr="00AC36BF" w:rsidRDefault="00AC36BF" w:rsidP="00AC36BF">
      <w:pPr>
        <w:pStyle w:val="Prrafodelista"/>
        <w:numPr>
          <w:ilvl w:val="0"/>
          <w:numId w:val="2"/>
        </w:numPr>
        <w:spacing w:line="360" w:lineRule="auto"/>
        <w:jc w:val="both"/>
        <w:rPr>
          <w:rStyle w:val="Hipervnculo"/>
          <w:rFonts w:ascii="Arial" w:hAnsi="Arial" w:cs="Arial"/>
          <w:color w:val="auto"/>
          <w:sz w:val="24"/>
          <w:szCs w:val="24"/>
          <w:u w:val="none"/>
          <w:lang w:val="es-CU" w:eastAsia="en-US"/>
        </w:rPr>
      </w:pPr>
      <w:r w:rsidRPr="00AC36BF">
        <w:rPr>
          <w:rFonts w:ascii="Arial" w:hAnsi="Arial" w:cs="Arial"/>
          <w:sz w:val="24"/>
          <w:szCs w:val="24"/>
        </w:rPr>
        <w:lastRenderedPageBreak/>
        <w:t xml:space="preserve">Rivera-Lebron B, McDaniel M, </w:t>
      </w:r>
      <w:proofErr w:type="spellStart"/>
      <w:r w:rsidRPr="00AC36BF">
        <w:rPr>
          <w:rFonts w:ascii="Arial" w:hAnsi="Arial" w:cs="Arial"/>
          <w:sz w:val="24"/>
          <w:szCs w:val="24"/>
        </w:rPr>
        <w:t>Ahrar</w:t>
      </w:r>
      <w:proofErr w:type="spellEnd"/>
      <w:r w:rsidRPr="00AC36BF">
        <w:rPr>
          <w:rFonts w:ascii="Arial" w:hAnsi="Arial" w:cs="Arial"/>
          <w:sz w:val="24"/>
          <w:szCs w:val="24"/>
        </w:rPr>
        <w:t xml:space="preserve"> K, et al. Diagnosis, treatment and follow up of acute pulmonary embolism: a review. </w:t>
      </w:r>
      <w:r w:rsidRPr="00AC36BF">
        <w:rPr>
          <w:rFonts w:ascii="Arial" w:hAnsi="Arial" w:cs="Arial"/>
          <w:sz w:val="24"/>
          <w:szCs w:val="24"/>
          <w:lang w:val="es-CU"/>
        </w:rPr>
        <w:t xml:space="preserve">JAMA. </w:t>
      </w:r>
      <w:r w:rsidRPr="00AC36BF">
        <w:rPr>
          <w:rFonts w:ascii="Arial" w:hAnsi="Arial" w:cs="Arial"/>
          <w:color w:val="000000"/>
          <w:sz w:val="24"/>
          <w:szCs w:val="24"/>
          <w:lang w:val="es-CU"/>
        </w:rPr>
        <w:t>[Internet]</w:t>
      </w:r>
      <w:r w:rsidRPr="00AC36BF">
        <w:rPr>
          <w:rFonts w:ascii="Arial" w:hAnsi="Arial" w:cs="Arial"/>
          <w:sz w:val="24"/>
          <w:szCs w:val="24"/>
          <w:lang w:val="es-CU"/>
        </w:rPr>
        <w:t xml:space="preserve"> 2023[Consultado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;329(1):76–88. Disponible en: </w:t>
      </w:r>
      <w:hyperlink r:id="rId17" w:history="1">
        <w:r w:rsidRPr="00AC36BF">
          <w:rPr>
            <w:rStyle w:val="Hipervnculo"/>
            <w:rFonts w:ascii="Arial" w:hAnsi="Arial" w:cs="Arial"/>
            <w:sz w:val="24"/>
            <w:szCs w:val="24"/>
            <w:lang w:val="es-CU"/>
          </w:rPr>
          <w:t>https://doi:10.1001/jama.2022.21010</w:t>
        </w:r>
      </w:hyperlink>
    </w:p>
    <w:p w14:paraId="7234A870"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proofErr w:type="spellStart"/>
      <w:r w:rsidRPr="00AC36BF">
        <w:rPr>
          <w:rFonts w:ascii="Arial" w:hAnsi="Arial" w:cs="Arial"/>
          <w:sz w:val="24"/>
          <w:szCs w:val="24"/>
        </w:rPr>
        <w:t>Iadecola</w:t>
      </w:r>
      <w:proofErr w:type="spellEnd"/>
      <w:r w:rsidRPr="00AC36BF">
        <w:rPr>
          <w:rFonts w:ascii="Arial" w:hAnsi="Arial" w:cs="Arial"/>
          <w:sz w:val="24"/>
          <w:szCs w:val="24"/>
        </w:rPr>
        <w:t xml:space="preserve"> C. The neurovascular unit coming of age: a journey through neurovascular coupling in health and disease. </w:t>
      </w:r>
      <w:proofErr w:type="spellStart"/>
      <w:r w:rsidRPr="00AC36BF">
        <w:rPr>
          <w:rFonts w:ascii="Arial" w:hAnsi="Arial" w:cs="Arial"/>
          <w:sz w:val="24"/>
          <w:szCs w:val="24"/>
          <w:lang w:val="es-CU"/>
        </w:rPr>
        <w:t>Neuron</w:t>
      </w:r>
      <w:proofErr w:type="spellEnd"/>
      <w:r w:rsidRPr="00AC36BF">
        <w:rPr>
          <w:rFonts w:ascii="Arial" w:hAnsi="Arial" w:cs="Arial"/>
          <w:sz w:val="24"/>
          <w:szCs w:val="24"/>
          <w:lang w:val="es-CU"/>
        </w:rPr>
        <w:t>.</w:t>
      </w:r>
      <w:r w:rsidRPr="00AC36BF">
        <w:rPr>
          <w:rFonts w:ascii="Arial" w:hAnsi="Arial" w:cs="Arial"/>
          <w:color w:val="000000"/>
          <w:sz w:val="24"/>
          <w:szCs w:val="24"/>
          <w:lang w:val="es-CU"/>
        </w:rPr>
        <w:t xml:space="preserve"> [Internet]</w:t>
      </w:r>
      <w:r w:rsidRPr="00AC36BF">
        <w:rPr>
          <w:rFonts w:ascii="Arial" w:hAnsi="Arial" w:cs="Arial"/>
          <w:sz w:val="24"/>
          <w:szCs w:val="24"/>
          <w:lang w:val="es-CU"/>
        </w:rPr>
        <w:t xml:space="preserve"> 2023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;111(8):1207–1223. Disponible en: </w:t>
      </w:r>
      <w:hyperlink r:id="rId18" w:history="1">
        <w:r w:rsidRPr="00AC36BF">
          <w:rPr>
            <w:rStyle w:val="Hipervnculo"/>
            <w:rFonts w:ascii="Arial" w:hAnsi="Arial" w:cs="Arial"/>
            <w:sz w:val="24"/>
            <w:szCs w:val="24"/>
            <w:lang w:val="es-CU"/>
          </w:rPr>
          <w:t>https://doi:10.1016/j.neuron.2023.03.012</w:t>
        </w:r>
      </w:hyperlink>
      <w:r w:rsidRPr="00AC36BF">
        <w:rPr>
          <w:rFonts w:ascii="Arial" w:hAnsi="Arial" w:cs="Arial"/>
          <w:sz w:val="24"/>
          <w:szCs w:val="24"/>
          <w:lang w:val="es-CU"/>
        </w:rPr>
        <w:t xml:space="preserve"> </w:t>
      </w:r>
    </w:p>
    <w:p w14:paraId="43921244"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r w:rsidRPr="00AC36BF">
        <w:rPr>
          <w:rFonts w:ascii="Arial" w:hAnsi="Arial" w:cs="Arial"/>
          <w:sz w:val="24"/>
          <w:szCs w:val="24"/>
        </w:rPr>
        <w:t xml:space="preserve">Powers WJ, </w:t>
      </w:r>
      <w:proofErr w:type="spellStart"/>
      <w:r w:rsidRPr="00AC36BF">
        <w:rPr>
          <w:rFonts w:ascii="Arial" w:hAnsi="Arial" w:cs="Arial"/>
          <w:sz w:val="24"/>
          <w:szCs w:val="24"/>
        </w:rPr>
        <w:t>Rabinstein</w:t>
      </w:r>
      <w:proofErr w:type="spellEnd"/>
      <w:r w:rsidRPr="00AC36BF">
        <w:rPr>
          <w:rFonts w:ascii="Arial" w:hAnsi="Arial" w:cs="Arial"/>
          <w:sz w:val="24"/>
          <w:szCs w:val="24"/>
        </w:rPr>
        <w:t xml:space="preserve"> AA, Ackerson T, et al. 2019 Guidelines for the Early Management of Acute Ischemic Stroke. </w:t>
      </w:r>
      <w:proofErr w:type="spellStart"/>
      <w:r w:rsidRPr="00AC36BF">
        <w:rPr>
          <w:rFonts w:ascii="Arial" w:hAnsi="Arial" w:cs="Arial"/>
          <w:sz w:val="24"/>
          <w:szCs w:val="24"/>
          <w:lang w:val="es-CU"/>
        </w:rPr>
        <w:t>Stroke</w:t>
      </w:r>
      <w:proofErr w:type="spellEnd"/>
      <w:r w:rsidRPr="00AC36BF">
        <w:rPr>
          <w:rFonts w:ascii="Arial" w:hAnsi="Arial" w:cs="Arial"/>
          <w:sz w:val="24"/>
          <w:szCs w:val="24"/>
          <w:lang w:val="es-CU"/>
        </w:rPr>
        <w:t>.</w:t>
      </w:r>
      <w:r w:rsidRPr="00AC36BF">
        <w:rPr>
          <w:rFonts w:ascii="Arial" w:hAnsi="Arial" w:cs="Arial"/>
          <w:color w:val="000000"/>
          <w:sz w:val="24"/>
          <w:szCs w:val="24"/>
          <w:lang w:val="es-CU"/>
        </w:rPr>
        <w:t xml:space="preserve"> [Internet]</w:t>
      </w:r>
      <w:r w:rsidRPr="00AC36BF">
        <w:rPr>
          <w:rFonts w:ascii="Arial" w:hAnsi="Arial" w:cs="Arial"/>
          <w:sz w:val="24"/>
          <w:szCs w:val="24"/>
          <w:lang w:val="es-CU"/>
        </w:rPr>
        <w:t xml:space="preserve"> 2019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;50(12</w:t>
      </w:r>
      <w:proofErr w:type="gramStart"/>
      <w:r w:rsidRPr="00AC36BF">
        <w:rPr>
          <w:rFonts w:ascii="Arial" w:hAnsi="Arial" w:cs="Arial"/>
          <w:sz w:val="24"/>
          <w:szCs w:val="24"/>
          <w:lang w:val="es-CU"/>
        </w:rPr>
        <w:t>):e</w:t>
      </w:r>
      <w:proofErr w:type="gramEnd"/>
      <w:r w:rsidRPr="00AC36BF">
        <w:rPr>
          <w:rFonts w:ascii="Arial" w:hAnsi="Arial" w:cs="Arial"/>
          <w:sz w:val="24"/>
          <w:szCs w:val="24"/>
          <w:lang w:val="es-CU"/>
        </w:rPr>
        <w:t xml:space="preserve">344–e418. Disponible en: </w:t>
      </w:r>
      <w:hyperlink r:id="rId19" w:history="1">
        <w:r w:rsidRPr="00AC36BF">
          <w:rPr>
            <w:rStyle w:val="Hipervnculo"/>
            <w:rFonts w:ascii="Arial" w:hAnsi="Arial" w:cs="Arial"/>
            <w:sz w:val="24"/>
            <w:szCs w:val="24"/>
            <w:lang w:val="es-CU"/>
          </w:rPr>
          <w:t>https://doi:10.1161/STR.0000000000000211</w:t>
        </w:r>
      </w:hyperlink>
      <w:r w:rsidRPr="00AC36BF">
        <w:rPr>
          <w:rFonts w:ascii="Arial" w:hAnsi="Arial" w:cs="Arial"/>
          <w:sz w:val="24"/>
          <w:szCs w:val="24"/>
          <w:lang w:val="es-CU"/>
        </w:rPr>
        <w:t xml:space="preserve"> </w:t>
      </w:r>
    </w:p>
    <w:p w14:paraId="305E1106" w14:textId="77777777" w:rsidR="00AC36BF" w:rsidRPr="00AC36BF" w:rsidRDefault="00AC36BF" w:rsidP="00AC36BF">
      <w:pPr>
        <w:pStyle w:val="Prrafodelista"/>
        <w:numPr>
          <w:ilvl w:val="0"/>
          <w:numId w:val="2"/>
        </w:numPr>
        <w:spacing w:line="360" w:lineRule="auto"/>
        <w:jc w:val="both"/>
        <w:rPr>
          <w:rFonts w:ascii="Arial" w:hAnsi="Arial" w:cs="Arial"/>
          <w:sz w:val="24"/>
          <w:szCs w:val="24"/>
        </w:rPr>
      </w:pPr>
      <w:r w:rsidRPr="00AC36BF">
        <w:rPr>
          <w:rFonts w:ascii="Arial" w:hAnsi="Arial" w:cs="Arial"/>
          <w:sz w:val="24"/>
          <w:szCs w:val="24"/>
        </w:rPr>
        <w:t xml:space="preserve">Campbell BCV, De Silva DA, Macleod MR, Coutts SB, </w:t>
      </w:r>
      <w:proofErr w:type="spellStart"/>
      <w:r w:rsidRPr="00AC36BF">
        <w:rPr>
          <w:rFonts w:ascii="Arial" w:hAnsi="Arial" w:cs="Arial"/>
          <w:sz w:val="24"/>
          <w:szCs w:val="24"/>
        </w:rPr>
        <w:t>Schwamm</w:t>
      </w:r>
      <w:proofErr w:type="spellEnd"/>
      <w:r w:rsidRPr="00AC36BF">
        <w:rPr>
          <w:rFonts w:ascii="Arial" w:hAnsi="Arial" w:cs="Arial"/>
          <w:sz w:val="24"/>
          <w:szCs w:val="24"/>
        </w:rPr>
        <w:t xml:space="preserve"> LH, Davis SM, </w:t>
      </w:r>
      <w:proofErr w:type="spellStart"/>
      <w:r w:rsidRPr="00AC36BF">
        <w:rPr>
          <w:rFonts w:ascii="Arial" w:hAnsi="Arial" w:cs="Arial"/>
          <w:sz w:val="24"/>
          <w:szCs w:val="24"/>
        </w:rPr>
        <w:t>Donnan</w:t>
      </w:r>
      <w:proofErr w:type="spellEnd"/>
      <w:r w:rsidRPr="00AC36BF">
        <w:rPr>
          <w:rFonts w:ascii="Arial" w:hAnsi="Arial" w:cs="Arial"/>
          <w:sz w:val="24"/>
          <w:szCs w:val="24"/>
        </w:rPr>
        <w:t xml:space="preserve"> GA. </w:t>
      </w:r>
      <w:proofErr w:type="spellStart"/>
      <w:r w:rsidRPr="00AC36BF">
        <w:rPr>
          <w:rFonts w:ascii="Arial" w:hAnsi="Arial" w:cs="Arial"/>
          <w:sz w:val="24"/>
          <w:szCs w:val="24"/>
          <w:lang w:val="es-CU"/>
        </w:rPr>
        <w:t>Ischaemic</w:t>
      </w:r>
      <w:proofErr w:type="spellEnd"/>
      <w:r w:rsidRPr="00AC36BF">
        <w:rPr>
          <w:rFonts w:ascii="Arial" w:hAnsi="Arial" w:cs="Arial"/>
          <w:sz w:val="24"/>
          <w:szCs w:val="24"/>
          <w:lang w:val="es-CU"/>
        </w:rPr>
        <w:t xml:space="preserve"> </w:t>
      </w:r>
      <w:proofErr w:type="spellStart"/>
      <w:r w:rsidRPr="00AC36BF">
        <w:rPr>
          <w:rFonts w:ascii="Arial" w:hAnsi="Arial" w:cs="Arial"/>
          <w:sz w:val="24"/>
          <w:szCs w:val="24"/>
          <w:lang w:val="es-CU"/>
        </w:rPr>
        <w:t>stroke</w:t>
      </w:r>
      <w:proofErr w:type="spellEnd"/>
      <w:r w:rsidRPr="00AC36BF">
        <w:rPr>
          <w:rFonts w:ascii="Arial" w:hAnsi="Arial" w:cs="Arial"/>
          <w:sz w:val="24"/>
          <w:szCs w:val="24"/>
          <w:lang w:val="es-CU"/>
        </w:rPr>
        <w:t xml:space="preserve">. </w:t>
      </w:r>
      <w:proofErr w:type="spellStart"/>
      <w:r w:rsidRPr="00AC36BF">
        <w:rPr>
          <w:rFonts w:ascii="Arial" w:hAnsi="Arial" w:cs="Arial"/>
          <w:sz w:val="24"/>
          <w:szCs w:val="24"/>
          <w:lang w:val="es-CU"/>
        </w:rPr>
        <w:t>Nat</w:t>
      </w:r>
      <w:proofErr w:type="spellEnd"/>
      <w:r w:rsidRPr="00AC36BF">
        <w:rPr>
          <w:rFonts w:ascii="Arial" w:hAnsi="Arial" w:cs="Arial"/>
          <w:sz w:val="24"/>
          <w:szCs w:val="24"/>
          <w:lang w:val="es-CU"/>
        </w:rPr>
        <w:t xml:space="preserve"> </w:t>
      </w:r>
      <w:proofErr w:type="spellStart"/>
      <w:r w:rsidRPr="00AC36BF">
        <w:rPr>
          <w:rFonts w:ascii="Arial" w:hAnsi="Arial" w:cs="Arial"/>
          <w:sz w:val="24"/>
          <w:szCs w:val="24"/>
          <w:lang w:val="es-CU"/>
        </w:rPr>
        <w:t>Rev</w:t>
      </w:r>
      <w:proofErr w:type="spellEnd"/>
      <w:r w:rsidRPr="00AC36BF">
        <w:rPr>
          <w:rFonts w:ascii="Arial" w:hAnsi="Arial" w:cs="Arial"/>
          <w:sz w:val="24"/>
          <w:szCs w:val="24"/>
          <w:lang w:val="es-CU"/>
        </w:rPr>
        <w:t xml:space="preserve"> </w:t>
      </w:r>
      <w:proofErr w:type="spellStart"/>
      <w:r w:rsidRPr="00AC36BF">
        <w:rPr>
          <w:rFonts w:ascii="Arial" w:hAnsi="Arial" w:cs="Arial"/>
          <w:sz w:val="24"/>
          <w:szCs w:val="24"/>
          <w:lang w:val="es-CU"/>
        </w:rPr>
        <w:t>Dis</w:t>
      </w:r>
      <w:proofErr w:type="spellEnd"/>
      <w:r w:rsidRPr="00AC36BF">
        <w:rPr>
          <w:rFonts w:ascii="Arial" w:hAnsi="Arial" w:cs="Arial"/>
          <w:sz w:val="24"/>
          <w:szCs w:val="24"/>
          <w:lang w:val="es-CU"/>
        </w:rPr>
        <w:t xml:space="preserve"> </w:t>
      </w:r>
      <w:proofErr w:type="spellStart"/>
      <w:r w:rsidRPr="00AC36BF">
        <w:rPr>
          <w:rFonts w:ascii="Arial" w:hAnsi="Arial" w:cs="Arial"/>
          <w:sz w:val="24"/>
          <w:szCs w:val="24"/>
          <w:lang w:val="es-CU"/>
        </w:rPr>
        <w:t>Primers</w:t>
      </w:r>
      <w:proofErr w:type="spellEnd"/>
      <w:r w:rsidRPr="00AC36BF">
        <w:rPr>
          <w:rFonts w:ascii="Arial" w:hAnsi="Arial" w:cs="Arial"/>
          <w:sz w:val="24"/>
          <w:szCs w:val="24"/>
          <w:lang w:val="es-CU"/>
        </w:rPr>
        <w:t xml:space="preserve">. </w:t>
      </w:r>
      <w:r w:rsidRPr="00AC36BF">
        <w:rPr>
          <w:rFonts w:ascii="Arial" w:hAnsi="Arial" w:cs="Arial"/>
          <w:color w:val="000000"/>
          <w:sz w:val="24"/>
          <w:szCs w:val="24"/>
          <w:lang w:val="es-CU"/>
        </w:rPr>
        <w:t>[Internet]</w:t>
      </w:r>
      <w:r w:rsidRPr="00AC36BF">
        <w:rPr>
          <w:rFonts w:ascii="Arial" w:hAnsi="Arial" w:cs="Arial"/>
          <w:sz w:val="24"/>
          <w:szCs w:val="24"/>
          <w:lang w:val="es-CU"/>
        </w:rPr>
        <w:t xml:space="preserve"> 2019[Consultado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;5(1):70. doi:10.1038/s41572-019-0118-8. </w:t>
      </w:r>
      <w:r w:rsidRPr="00AC36BF">
        <w:rPr>
          <w:rFonts w:ascii="Arial" w:hAnsi="Arial" w:cs="Arial"/>
          <w:sz w:val="24"/>
          <w:szCs w:val="24"/>
        </w:rPr>
        <w:t xml:space="preserve">Disponible </w:t>
      </w:r>
      <w:proofErr w:type="spellStart"/>
      <w:r w:rsidRPr="00AC36BF">
        <w:rPr>
          <w:rFonts w:ascii="Arial" w:hAnsi="Arial" w:cs="Arial"/>
          <w:sz w:val="24"/>
          <w:szCs w:val="24"/>
        </w:rPr>
        <w:t>en</w:t>
      </w:r>
      <w:proofErr w:type="spellEnd"/>
      <w:r w:rsidRPr="00AC36BF">
        <w:rPr>
          <w:rFonts w:ascii="Arial" w:hAnsi="Arial" w:cs="Arial"/>
          <w:sz w:val="24"/>
          <w:szCs w:val="24"/>
        </w:rPr>
        <w:t xml:space="preserve">: </w:t>
      </w:r>
      <w:hyperlink r:id="rId20" w:history="1">
        <w:r w:rsidRPr="00AC36BF">
          <w:rPr>
            <w:rStyle w:val="Hipervnculo"/>
            <w:rFonts w:ascii="Arial" w:hAnsi="Arial" w:cs="Arial"/>
            <w:sz w:val="24"/>
            <w:szCs w:val="24"/>
          </w:rPr>
          <w:t>https://www.nature.com/articles/s41572-019-0118-8</w:t>
        </w:r>
      </w:hyperlink>
    </w:p>
    <w:p w14:paraId="13201F92"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proofErr w:type="spellStart"/>
      <w:r w:rsidRPr="00AC36BF">
        <w:rPr>
          <w:rFonts w:ascii="Arial" w:hAnsi="Arial" w:cs="Arial"/>
          <w:sz w:val="24"/>
          <w:szCs w:val="24"/>
        </w:rPr>
        <w:t>Liebeskind</w:t>
      </w:r>
      <w:proofErr w:type="spellEnd"/>
      <w:r w:rsidRPr="00AC36BF">
        <w:rPr>
          <w:rFonts w:ascii="Arial" w:hAnsi="Arial" w:cs="Arial"/>
          <w:sz w:val="24"/>
          <w:szCs w:val="24"/>
        </w:rPr>
        <w:t xml:space="preserve"> DS. Collateral circulation. Stroke. </w:t>
      </w:r>
      <w:r w:rsidRPr="00AC36BF">
        <w:rPr>
          <w:rFonts w:ascii="Arial" w:hAnsi="Arial" w:cs="Arial"/>
          <w:color w:val="000000"/>
          <w:sz w:val="24"/>
          <w:szCs w:val="24"/>
          <w:lang w:val="es-CU"/>
        </w:rPr>
        <w:t>[Internet]</w:t>
      </w:r>
      <w:r w:rsidRPr="00AC36BF">
        <w:rPr>
          <w:rFonts w:ascii="Arial" w:hAnsi="Arial" w:cs="Arial"/>
          <w:sz w:val="24"/>
          <w:szCs w:val="24"/>
          <w:lang w:val="es-CU"/>
        </w:rPr>
        <w:t xml:space="preserve"> 2003[Consultado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;34(9):2279-2284. Disponible en: </w:t>
      </w:r>
      <w:hyperlink r:id="rId21" w:history="1">
        <w:r w:rsidRPr="00AC36BF">
          <w:rPr>
            <w:rStyle w:val="Hipervnculo"/>
            <w:rFonts w:ascii="Arial" w:hAnsi="Arial" w:cs="Arial"/>
            <w:sz w:val="24"/>
            <w:szCs w:val="24"/>
            <w:lang w:val="es-CU"/>
          </w:rPr>
          <w:t>https://doi:10.1161/01.STR.0000086465.35949.00</w:t>
        </w:r>
      </w:hyperlink>
      <w:r w:rsidRPr="00AC36BF">
        <w:rPr>
          <w:rFonts w:ascii="Arial" w:hAnsi="Arial" w:cs="Arial"/>
          <w:sz w:val="24"/>
          <w:szCs w:val="24"/>
          <w:lang w:val="es-CU"/>
        </w:rPr>
        <w:t xml:space="preserve"> </w:t>
      </w:r>
    </w:p>
    <w:p w14:paraId="77A0B3A5"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r w:rsidRPr="00AC36BF">
        <w:rPr>
          <w:rFonts w:ascii="Arial" w:hAnsi="Arial" w:cs="Arial"/>
          <w:sz w:val="24"/>
          <w:szCs w:val="24"/>
          <w:lang w:val="es-CU"/>
        </w:rPr>
        <w:t xml:space="preserve">Yang Y, Liu Z, </w:t>
      </w:r>
      <w:proofErr w:type="spellStart"/>
      <w:r w:rsidRPr="00AC36BF">
        <w:rPr>
          <w:rFonts w:ascii="Arial" w:hAnsi="Arial" w:cs="Arial"/>
          <w:sz w:val="24"/>
          <w:szCs w:val="24"/>
          <w:lang w:val="es-CU"/>
        </w:rPr>
        <w:t>Liao</w:t>
      </w:r>
      <w:proofErr w:type="spellEnd"/>
      <w:r w:rsidRPr="00AC36BF">
        <w:rPr>
          <w:rFonts w:ascii="Arial" w:hAnsi="Arial" w:cs="Arial"/>
          <w:sz w:val="24"/>
          <w:szCs w:val="24"/>
          <w:lang w:val="es-CU"/>
        </w:rPr>
        <w:t xml:space="preserve"> Y, et al. </w:t>
      </w:r>
      <w:r w:rsidRPr="00AC36BF">
        <w:rPr>
          <w:rFonts w:ascii="Arial" w:hAnsi="Arial" w:cs="Arial"/>
          <w:sz w:val="24"/>
          <w:szCs w:val="24"/>
        </w:rPr>
        <w:t xml:space="preserve">Ischemic stroke: From pathological mechanisms to neuroprotective strategies. </w:t>
      </w:r>
      <w:r w:rsidRPr="00AC36BF">
        <w:rPr>
          <w:rFonts w:ascii="Arial" w:hAnsi="Arial" w:cs="Arial"/>
          <w:sz w:val="24"/>
          <w:szCs w:val="24"/>
          <w:lang w:val="es-CU"/>
        </w:rPr>
        <w:t xml:space="preserve">Front Neurol. </w:t>
      </w:r>
      <w:r w:rsidRPr="00AC36BF">
        <w:rPr>
          <w:rFonts w:ascii="Arial" w:hAnsi="Arial" w:cs="Arial"/>
          <w:color w:val="000000"/>
          <w:sz w:val="24"/>
          <w:szCs w:val="24"/>
          <w:lang w:val="es-CU"/>
        </w:rPr>
        <w:t>[Internet]</w:t>
      </w:r>
      <w:r w:rsidRPr="00AC36BF">
        <w:rPr>
          <w:rFonts w:ascii="Arial" w:hAnsi="Arial" w:cs="Arial"/>
          <w:sz w:val="24"/>
          <w:szCs w:val="24"/>
          <w:lang w:val="es-CU"/>
        </w:rPr>
        <w:t xml:space="preserve"> 2022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 13:1013083. Disponible en: </w:t>
      </w:r>
      <w:hyperlink r:id="rId22" w:history="1">
        <w:r w:rsidRPr="00AC36BF">
          <w:rPr>
            <w:rStyle w:val="Hipervnculo"/>
            <w:rFonts w:ascii="Arial" w:hAnsi="Arial" w:cs="Arial"/>
            <w:sz w:val="24"/>
            <w:szCs w:val="24"/>
            <w:lang w:val="es-CU"/>
          </w:rPr>
          <w:t>https://doi:10.3389/fneur.2022.1013083</w:t>
        </w:r>
      </w:hyperlink>
      <w:r w:rsidRPr="00AC36BF">
        <w:rPr>
          <w:rFonts w:ascii="Arial" w:hAnsi="Arial" w:cs="Arial"/>
          <w:sz w:val="24"/>
          <w:szCs w:val="24"/>
          <w:lang w:val="es-CU"/>
        </w:rPr>
        <w:t xml:space="preserve"> </w:t>
      </w:r>
    </w:p>
    <w:p w14:paraId="2D6374E3" w14:textId="77777777" w:rsidR="00AC36BF" w:rsidRPr="00AC36BF" w:rsidRDefault="00AC36BF" w:rsidP="00AC36BF">
      <w:pPr>
        <w:pStyle w:val="Prrafodelista"/>
        <w:numPr>
          <w:ilvl w:val="0"/>
          <w:numId w:val="2"/>
        </w:numPr>
        <w:spacing w:line="360" w:lineRule="auto"/>
        <w:jc w:val="both"/>
        <w:rPr>
          <w:rFonts w:ascii="Arial" w:hAnsi="Arial" w:cs="Arial"/>
          <w:sz w:val="24"/>
          <w:szCs w:val="24"/>
          <w:lang w:val="es-CU"/>
        </w:rPr>
      </w:pPr>
      <w:r w:rsidRPr="00AC36BF">
        <w:rPr>
          <w:rFonts w:ascii="Arial" w:hAnsi="Arial" w:cs="Arial"/>
          <w:sz w:val="24"/>
          <w:szCs w:val="24"/>
        </w:rPr>
        <w:t xml:space="preserve">Albers GW, Marks MP, Kemp S, et al. Perfusion imaging in acute ischemic stroke: clinical utility and outcomes. </w:t>
      </w:r>
      <w:r w:rsidRPr="00AC36BF">
        <w:rPr>
          <w:rFonts w:ascii="Arial" w:hAnsi="Arial" w:cs="Arial"/>
          <w:sz w:val="24"/>
          <w:szCs w:val="24"/>
          <w:lang w:val="es-CU"/>
        </w:rPr>
        <w:t>Lancet Neurol.</w:t>
      </w:r>
      <w:r w:rsidRPr="00AC36BF">
        <w:rPr>
          <w:rFonts w:ascii="Arial" w:hAnsi="Arial" w:cs="Arial"/>
          <w:color w:val="000000"/>
          <w:sz w:val="24"/>
          <w:szCs w:val="24"/>
          <w:lang w:val="es-CU"/>
        </w:rPr>
        <w:t xml:space="preserve"> [Internet]</w:t>
      </w:r>
      <w:r w:rsidRPr="00AC36BF">
        <w:rPr>
          <w:rFonts w:ascii="Arial" w:hAnsi="Arial" w:cs="Arial"/>
          <w:sz w:val="24"/>
          <w:szCs w:val="24"/>
          <w:lang w:val="es-CU"/>
        </w:rPr>
        <w:t xml:space="preserve"> 2023 [Consultado el 25 de marzo de 2026</w:t>
      </w:r>
      <w:r w:rsidRPr="00AC36BF">
        <w:rPr>
          <w:rFonts w:ascii="Arial" w:hAnsi="Arial" w:cs="Arial"/>
          <w:color w:val="000000"/>
          <w:sz w:val="24"/>
          <w:szCs w:val="24"/>
          <w:lang w:val="es-CU"/>
        </w:rPr>
        <w:t>]</w:t>
      </w:r>
      <w:r w:rsidRPr="00AC36BF">
        <w:rPr>
          <w:rFonts w:ascii="Arial" w:hAnsi="Arial" w:cs="Arial"/>
          <w:sz w:val="24"/>
          <w:szCs w:val="24"/>
          <w:lang w:val="es-CU"/>
        </w:rPr>
        <w:t xml:space="preserve">;22(5):389–401. Disponible en: </w:t>
      </w:r>
      <w:hyperlink r:id="rId23" w:history="1">
        <w:r w:rsidRPr="00AC36BF">
          <w:rPr>
            <w:rStyle w:val="Hipervnculo"/>
            <w:rFonts w:ascii="Arial" w:hAnsi="Arial" w:cs="Arial"/>
            <w:sz w:val="24"/>
            <w:szCs w:val="24"/>
            <w:lang w:val="es-CU"/>
          </w:rPr>
          <w:t>https://doi:10.1016/S1474-4422(23)00045-1</w:t>
        </w:r>
      </w:hyperlink>
      <w:r w:rsidRPr="00AC36BF">
        <w:rPr>
          <w:rFonts w:ascii="Arial" w:hAnsi="Arial" w:cs="Arial"/>
          <w:sz w:val="24"/>
          <w:szCs w:val="24"/>
          <w:lang w:val="es-CU"/>
        </w:rPr>
        <w:t xml:space="preserve"> </w:t>
      </w:r>
    </w:p>
    <w:p w14:paraId="711FF631" w14:textId="77777777" w:rsidR="00AC36BF" w:rsidRPr="00AC36BF" w:rsidRDefault="00AC36BF" w:rsidP="00AC36BF">
      <w:pPr>
        <w:pStyle w:val="Prrafodelista"/>
        <w:rPr>
          <w:lang w:val="es-CU" w:eastAsia="en-US"/>
        </w:rPr>
      </w:pPr>
    </w:p>
    <w:p w14:paraId="59DC5A59" w14:textId="77777777" w:rsidR="0053186D" w:rsidRPr="008D0D44" w:rsidRDefault="0053186D" w:rsidP="008D0D44">
      <w:pPr>
        <w:spacing w:line="360" w:lineRule="auto"/>
        <w:rPr>
          <w:rFonts w:ascii="Arial" w:hAnsi="Arial" w:cs="Arial"/>
          <w:sz w:val="24"/>
          <w:lang w:val="es-CU"/>
        </w:rPr>
      </w:pPr>
    </w:p>
    <w:sectPr w:rsidR="0053186D" w:rsidRPr="008D0D44" w:rsidSect="008A6E88">
      <w:pgSz w:w="12240" w:h="15840" w:code="1"/>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0A01"/>
    <w:multiLevelType w:val="hybridMultilevel"/>
    <w:tmpl w:val="F7DEA9FC"/>
    <w:lvl w:ilvl="0" w:tplc="B636EB0A">
      <w:start w:val="1"/>
      <w:numFmt w:val="decimal"/>
      <w:lvlText w:val="%1."/>
      <w:lvlJc w:val="left"/>
      <w:pPr>
        <w:ind w:left="360" w:hanging="360"/>
      </w:pPr>
      <w:rPr>
        <w:rFonts w:hint="default"/>
        <w:b/>
        <w:bCs/>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A827E52"/>
    <w:multiLevelType w:val="hybridMultilevel"/>
    <w:tmpl w:val="3454ECCE"/>
    <w:lvl w:ilvl="0" w:tplc="5EC89FDC">
      <w:start w:val="1"/>
      <w:numFmt w:val="decimal"/>
      <w:lvlText w:val="%1."/>
      <w:lvlJc w:val="left"/>
      <w:pPr>
        <w:ind w:left="360" w:hanging="360"/>
      </w:pPr>
      <w:rPr>
        <w:b/>
        <w:bCs/>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2" w15:restartNumberingAfterBreak="0">
    <w:nsid w:val="7E694A5F"/>
    <w:multiLevelType w:val="multilevel"/>
    <w:tmpl w:val="CE54FCC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6D"/>
    <w:rsid w:val="002B0077"/>
    <w:rsid w:val="0053186D"/>
    <w:rsid w:val="006C63CB"/>
    <w:rsid w:val="00794038"/>
    <w:rsid w:val="008A3246"/>
    <w:rsid w:val="008A6E88"/>
    <w:rsid w:val="008D0D44"/>
    <w:rsid w:val="008D7756"/>
    <w:rsid w:val="009D1BCC"/>
    <w:rsid w:val="00AB20A1"/>
    <w:rsid w:val="00AC36BF"/>
    <w:rsid w:val="00AE158B"/>
    <w:rsid w:val="00D409CC"/>
    <w:rsid w:val="00DB4B10"/>
    <w:rsid w:val="00EF7F2B"/>
    <w:rsid w:val="00F4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E9BD0"/>
  <w15:docId w15:val="{72751B72-7EF8-43B0-953D-F4AB971C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s-CU" w:eastAsia="es-C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Ttulo1">
    <w:name w:val="heading 1"/>
    <w:basedOn w:val="Normal"/>
    <w:next w:val="Normal"/>
    <w:link w:val="Ttulo1Car"/>
    <w:uiPriority w:val="9"/>
    <w:qFormat/>
    <w:rsid w:val="008A6E88"/>
    <w:pPr>
      <w:keepNext/>
      <w:keepLines/>
      <w:widowControl/>
      <w:spacing w:before="240" w:after="0" w:line="276" w:lineRule="auto"/>
      <w:jc w:val="left"/>
      <w:outlineLvl w:val="0"/>
    </w:pPr>
    <w:rPr>
      <w:rFonts w:asciiTheme="majorHAnsi" w:eastAsiaTheme="majorEastAsia" w:hAnsiTheme="majorHAnsi" w:cstheme="majorBidi"/>
      <w:color w:val="2E74B5" w:themeColor="accent1" w:themeShade="BF"/>
      <w:kern w:val="0"/>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6C63CB"/>
    <w:rPr>
      <w:color w:val="0563C1" w:themeColor="hyperlink"/>
      <w:u w:val="single"/>
    </w:rPr>
  </w:style>
  <w:style w:type="character" w:styleId="Mencinsinresolver">
    <w:name w:val="Unresolved Mention"/>
    <w:basedOn w:val="Fuentedeprrafopredeter"/>
    <w:uiPriority w:val="99"/>
    <w:semiHidden/>
    <w:unhideWhenUsed/>
    <w:rsid w:val="006C63CB"/>
    <w:rPr>
      <w:color w:val="605E5C"/>
      <w:shd w:val="clear" w:color="auto" w:fill="E1DFDD"/>
    </w:rPr>
  </w:style>
  <w:style w:type="character" w:customStyle="1" w:styleId="Ttulo1Car">
    <w:name w:val="Título 1 Car"/>
    <w:basedOn w:val="Fuentedeprrafopredeter"/>
    <w:link w:val="Ttulo1"/>
    <w:uiPriority w:val="9"/>
    <w:rsid w:val="008A6E88"/>
    <w:rPr>
      <w:rFonts w:asciiTheme="majorHAnsi" w:eastAsiaTheme="majorEastAsia" w:hAnsiTheme="majorHAnsi" w:cstheme="majorBidi"/>
      <w:color w:val="2E74B5" w:themeColor="accent1" w:themeShade="BF"/>
      <w:sz w:val="32"/>
      <w:szCs w:val="32"/>
      <w:lang w:val="en-US" w:eastAsia="en-US"/>
    </w:rPr>
  </w:style>
  <w:style w:type="paragraph" w:styleId="Prrafodelista">
    <w:name w:val="List Paragraph"/>
    <w:basedOn w:val="Normal"/>
    <w:uiPriority w:val="34"/>
    <w:unhideWhenUsed/>
    <w:qFormat/>
    <w:rsid w:val="00EF7F2B"/>
    <w:pPr>
      <w:widowControl/>
      <w:spacing w:after="200" w:line="276" w:lineRule="auto"/>
      <w:ind w:left="720"/>
      <w:contextualSpacing/>
      <w:jc w:val="left"/>
    </w:pPr>
    <w:rPr>
      <w:rFonts w:ascii="Calibri" w:eastAsia="SimSun"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rcid.org/0000-0002-9571-4289" TargetMode="External"/><Relationship Id="rId13" Type="http://schemas.openxmlformats.org/officeDocument/2006/relationships/hyperlink" Target="https://doi:10.1093/eurheartj/ehz405" TargetMode="External"/><Relationship Id="rId18" Type="http://schemas.openxmlformats.org/officeDocument/2006/relationships/hyperlink" Target="https://doi:10.1016/j.neuron.2023.03.012" TargetMode="External"/><Relationship Id="rId3" Type="http://schemas.openxmlformats.org/officeDocument/2006/relationships/styles" Target="styles.xml"/><Relationship Id="rId21" Type="http://schemas.openxmlformats.org/officeDocument/2006/relationships/hyperlink" Target="https://doi:10.1161/01.STR.0000086465.35949.00" TargetMode="External"/><Relationship Id="rId7" Type="http://schemas.openxmlformats.org/officeDocument/2006/relationships/hyperlink" Target="https://orcid.org/0000-0002-3504-4092" TargetMode="External"/><Relationship Id="rId12" Type="http://schemas.openxmlformats.org/officeDocument/2006/relationships/hyperlink" Target="https://doi:10.1016/j.chest.2015.11.026" TargetMode="External"/><Relationship Id="rId17" Type="http://schemas.openxmlformats.org/officeDocument/2006/relationships/hyperlink" Target="https://doi:10.1001/jama.2022.210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10.1183/16000617.0065-2022" TargetMode="External"/><Relationship Id="rId20" Type="http://schemas.openxmlformats.org/officeDocument/2006/relationships/hyperlink" Target="https://www.nature.com/articles/s41572-019-0118-8" TargetMode="External"/><Relationship Id="rId1" Type="http://schemas.openxmlformats.org/officeDocument/2006/relationships/customXml" Target="../customXml/item1.xml"/><Relationship Id="rId6" Type="http://schemas.openxmlformats.org/officeDocument/2006/relationships/hyperlink" Target="https://orcid.org/0000-0002-2401-5114" TargetMode="External"/><Relationship Id="rId11" Type="http://schemas.openxmlformats.org/officeDocument/2006/relationships/hyperlink" Target="https://doi:10.1016/S1474-4422(24)00275-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10.1161/CIRCULATIONAHA.122.061998" TargetMode="External"/><Relationship Id="rId23" Type="http://schemas.openxmlformats.org/officeDocument/2006/relationships/hyperlink" Target="https://doi:10.1016/S1474-4422(23)00045-1" TargetMode="External"/><Relationship Id="rId10" Type="http://schemas.openxmlformats.org/officeDocument/2006/relationships/hyperlink" Target="https://doi:10.3390/jcm13247515" TargetMode="External"/><Relationship Id="rId19" Type="http://schemas.openxmlformats.org/officeDocument/2006/relationships/hyperlink" Target="https://doi:10.1161/STR.0000000000000211" TargetMode="External"/><Relationship Id="rId4" Type="http://schemas.openxmlformats.org/officeDocument/2006/relationships/settings" Target="settings.xml"/><Relationship Id="rId9" Type="http://schemas.openxmlformats.org/officeDocument/2006/relationships/hyperlink" Target="mailto:willrivercar@gmail.com" TargetMode="External"/><Relationship Id="rId14" Type="http://schemas.openxmlformats.org/officeDocument/2006/relationships/hyperlink" Target="https://doi:10.3390/neurolint17100168" TargetMode="External"/><Relationship Id="rId22" Type="http://schemas.openxmlformats.org/officeDocument/2006/relationships/hyperlink" Target="https://doi:10.3389/fneur.2022.101308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3058</Words>
  <Characters>16820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Dell</cp:lastModifiedBy>
  <cp:revision>7</cp:revision>
  <dcterms:created xsi:type="dcterms:W3CDTF">2024-02-03T10:15:00Z</dcterms:created>
  <dcterms:modified xsi:type="dcterms:W3CDTF">2024-02-03T10:26:00Z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2052-11.37.30</vt:lpwstr>
  </property>
  <property fmtid="{D5CDD505-2E9C-101B-9397-08002B2CF9AE}" pid="3" name="ICV">
    <vt:lpwstr>B14671C816822243A40A166ACF782CE0_31</vt:lpwstr>
  </property>
</Properties>
</file>