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rPr>
          <w:b/>
          <w:bCs/>
        </w:rPr>
      </w:pPr>
      <w:bookmarkStart w:id="0" w:name="_GoBack"/>
      <w:bookmarkEnd w:id="0"/>
    </w:p>
    <w:p>
      <w:pPr>
        <w:pStyle w:val="style0"/>
        <w:rPr>
          <w:b/>
          <w:bCs/>
        </w:rPr>
      </w:pPr>
      <w:r>
        <w:rPr>
          <w:b/>
          <w:bCs/>
        </w:rPr>
        <w:t>ALFABETIZACIÓN INFORMACIONAL COMO DETERMINANTE SOCIAL DE LA SALUD VISUAL: REVISIÓN SISTEMÁTICA DE LA GESTIÓN DEL CONOCIMIENTO EN OFTALMOLOGÍA</w:t>
      </w:r>
    </w:p>
    <w:p>
      <w:pPr>
        <w:pStyle w:val="style0"/>
        <w:rPr/>
      </w:pPr>
    </w:p>
    <w:p>
      <w:pPr>
        <w:pStyle w:val="style0"/>
        <w:spacing w:lineRule="auto" w:line="360"/>
        <w:jc w:val="both"/>
        <w:rPr>
          <w:sz w:val="24"/>
          <w:szCs w:val="24"/>
        </w:rPr>
      </w:pPr>
      <w:r>
        <w:rPr>
          <w:sz w:val="24"/>
          <w:szCs w:val="24"/>
        </w:rPr>
        <w:t xml:space="preserve">Autor: </w:t>
      </w:r>
      <w:r>
        <w:rPr>
          <w:sz w:val="24"/>
          <w:szCs w:val="24"/>
          <w:lang w:val="en-US"/>
        </w:rPr>
        <w:t>Dra.Marlenes Rocio Carbonell Cuervo</w:t>
      </w:r>
      <w:r>
        <w:rPr>
          <w:sz w:val="24"/>
          <w:szCs w:val="24"/>
        </w:rPr>
        <w:t>¹</w:t>
      </w:r>
    </w:p>
    <w:p>
      <w:pPr>
        <w:pStyle w:val="style0"/>
        <w:spacing w:lineRule="auto" w:line="360"/>
        <w:jc w:val="both"/>
        <w:rPr>
          <w:sz w:val="24"/>
          <w:szCs w:val="24"/>
        </w:rPr>
      </w:pPr>
      <w:r>
        <w:rPr>
          <w:sz w:val="24"/>
          <w:szCs w:val="24"/>
        </w:rPr>
        <w:t>¹Institución: Departamento de Oftalmología</w:t>
      </w:r>
      <w:r>
        <w:rPr>
          <w:sz w:val="24"/>
          <w:szCs w:val="24"/>
          <w:lang w:val="en-US"/>
        </w:rPr>
        <w:t xml:space="preserve"> Hospital Clínico Quirúrgico Juan Bruno Zayas. Santiago de Cuba</w:t>
      </w:r>
    </w:p>
    <w:p>
      <w:pPr>
        <w:pStyle w:val="style0"/>
        <w:spacing w:lineRule="auto" w:line="360"/>
        <w:jc w:val="both"/>
        <w:rPr>
          <w:sz w:val="24"/>
          <w:szCs w:val="24"/>
        </w:rPr>
      </w:pPr>
      <w:r>
        <w:rPr>
          <w:sz w:val="24"/>
          <w:szCs w:val="24"/>
        </w:rPr>
        <w:t xml:space="preserve">Correo electrónico: </w:t>
      </w:r>
      <w:r>
        <w:rPr>
          <w:sz w:val="24"/>
          <w:szCs w:val="24"/>
          <w:lang w:val="en-US"/>
        </w:rPr>
        <w:t>rocio.carbonellcuervo@gmail.com</w:t>
      </w:r>
    </w:p>
    <w:p>
      <w:pPr>
        <w:pStyle w:val="style0"/>
        <w:spacing w:lineRule="auto" w:line="360"/>
        <w:jc w:val="both"/>
        <w:rPr>
          <w:sz w:val="24"/>
          <w:szCs w:val="24"/>
        </w:rPr>
      </w:pPr>
      <w:r>
        <w:rPr>
          <w:sz w:val="24"/>
          <w:szCs w:val="24"/>
        </w:rPr>
        <w:t xml:space="preserve">ORCID: </w:t>
      </w:r>
      <w:r>
        <w:rPr>
          <w:sz w:val="24"/>
          <w:szCs w:val="24"/>
          <w:lang w:val="en-US"/>
        </w:rPr>
        <w:t>0009-0009-0241-5908</w:t>
      </w:r>
    </w:p>
    <w:p>
      <w:pPr>
        <w:pStyle w:val="style0"/>
        <w:spacing w:lineRule="auto" w:line="360"/>
        <w:jc w:val="both"/>
        <w:rPr>
          <w:sz w:val="24"/>
          <w:szCs w:val="24"/>
        </w:rPr>
      </w:pPr>
    </w:p>
    <w:p>
      <w:pPr>
        <w:pStyle w:val="style0"/>
        <w:spacing w:lineRule="auto" w:line="360"/>
        <w:jc w:val="both"/>
        <w:rPr>
          <w:b/>
          <w:bCs/>
          <w:sz w:val="24"/>
          <w:szCs w:val="24"/>
        </w:rPr>
      </w:pPr>
      <w:r>
        <w:rPr>
          <w:b/>
          <w:bCs/>
          <w:sz w:val="24"/>
          <w:szCs w:val="24"/>
        </w:rPr>
        <w:t>Resumen:</w:t>
      </w:r>
      <w:r>
        <w:rPr>
          <w:sz w:val="24"/>
          <w:szCs w:val="24"/>
          <w:lang w:val="en-US"/>
        </w:rPr>
        <w:t xml:space="preserve"> I</w:t>
      </w:r>
      <w:r>
        <w:rPr>
          <w:sz w:val="24"/>
          <w:szCs w:val="24"/>
        </w:rPr>
        <w:t>ntroducción: La desinformación en salud visual representa una barrera emergente para la prevención de la ceguera evitable. A pesar de los avances científicos en Oftalmología, la adherencia terapéutica y la consulta precoz se ven mermadas por la baja competencia informacional de la población. Desarrollo: Esta revisión explora la aplicación de la Alfabetización Informacional (ALFIN) y la pedagogía informacional en el contexto clínico oftalmológico. Se analizan 25 fuentes primarias y revisiones sistemáticas publicadas entre 2018 y 2025. Los resultados evidencian que los pacientes con glaucoma y retinopatía diabética que reciben formación en búsqueda y evaluación de fuentes científicas presentan tasas de adherencia al tratamiento superiores en un 25-40% frente al grupo control. Se identifican los principales mitos virales en plataformas digitales (TikTok, YouTube) sobre cirugía refractiva y cataratas, y se contrastan con la evidencia organizada en repositorios especializados. Asimismo, se destaca el rol del bibliotecario clínico y los sistemas de organización del conocimiento (taxonomías DeCS/MeSH) como mediadores críticos en la transferencia de información validada. Conclusiones: La integración de servicios de extensión bibliotecaria en las consultas de Oftalmología constituye una estrategia costo-efectiva para la promoción de la salud visual y la reducción de la morbilidad por diagnóstico tardío.</w:t>
      </w:r>
    </w:p>
    <w:p>
      <w:pPr>
        <w:pStyle w:val="style0"/>
        <w:spacing w:lineRule="auto" w:line="360"/>
        <w:jc w:val="both"/>
        <w:rPr>
          <w:sz w:val="24"/>
          <w:szCs w:val="24"/>
        </w:rPr>
      </w:pPr>
      <w:r>
        <w:rPr>
          <w:b/>
          <w:bCs/>
          <w:sz w:val="24"/>
          <w:szCs w:val="24"/>
        </w:rPr>
        <w:t>Palabras clave:</w:t>
      </w:r>
      <w:r>
        <w:rPr>
          <w:sz w:val="24"/>
          <w:szCs w:val="24"/>
        </w:rPr>
        <w:t>Alfabetización Informacional, Oftalmología, Promoción de la Salud, Gestión del Conocimiento, Prevención de Ceguera, Comportamiento Informacional, Educación del Paciente.</w:t>
      </w:r>
    </w:p>
    <w:p>
      <w:pPr>
        <w:pStyle w:val="style0"/>
        <w:spacing w:lineRule="auto" w:line="360"/>
        <w:jc w:val="both"/>
        <w:rPr>
          <w:b/>
          <w:bCs/>
          <w:sz w:val="24"/>
          <w:szCs w:val="24"/>
        </w:rPr>
      </w:pPr>
      <w:r>
        <w:rPr>
          <w:b/>
          <w:bCs/>
          <w:sz w:val="24"/>
          <w:szCs w:val="24"/>
        </w:rPr>
        <w:t>INTRODUCCIÓN</w:t>
      </w:r>
    </w:p>
    <w:p>
      <w:pPr>
        <w:pStyle w:val="style0"/>
        <w:spacing w:lineRule="auto" w:line="360"/>
        <w:jc w:val="both"/>
        <w:rPr>
          <w:sz w:val="24"/>
          <w:szCs w:val="24"/>
        </w:rPr>
      </w:pPr>
      <w:r>
        <w:rPr>
          <w:sz w:val="24"/>
          <w:szCs w:val="24"/>
        </w:rPr>
        <w:t>La práctica de la Oftalmología contemporánea se enfrenta a una paradoja comunicativa: mientras el conocimiento científico sobre las enfermedades oculares se expande a un ritmo exponencial gracias a la inteligencia artificial diagnóstica y las terapias biológicas, la población general accede a un ecosistema digital saturado de pseudociencia y remedios caseros de eficacia nula (1). Esta disonancia informativa tiene consecuencias clínicas tangibles. Se estima que al menos el 50% de los casos de ceguera por glaucoma son atribuibles al diagnóstico tardío, una situación que no solo depende del acceso geográfico o económico al oftalmólogo, sino también del reconocimiento de los signos de alarma y la capacidad del paciente para discernir información validada (2,3).</w:t>
      </w:r>
    </w:p>
    <w:p>
      <w:pPr>
        <w:pStyle w:val="style0"/>
        <w:spacing w:lineRule="auto" w:line="360"/>
        <w:jc w:val="both"/>
        <w:rPr>
          <w:sz w:val="24"/>
          <w:szCs w:val="24"/>
        </w:rPr>
      </w:pPr>
    </w:p>
    <w:p>
      <w:pPr>
        <w:pStyle w:val="style0"/>
        <w:spacing w:lineRule="auto" w:line="360"/>
        <w:jc w:val="both"/>
        <w:rPr>
          <w:sz w:val="24"/>
          <w:szCs w:val="24"/>
        </w:rPr>
      </w:pPr>
      <w:r>
        <w:rPr>
          <w:sz w:val="24"/>
          <w:szCs w:val="24"/>
        </w:rPr>
        <w:t>El presente artículo de revisión aborda un vacío en la literatura hispanohablante: el análisis del comportamiento informacional del paciente oftalmológico y el rol de las ciencias de la información como determinante intermedio de la salud visual. Partiendo de la premisa de que la información es un recurso terapéutico más, se examina cómo los procesos de organización, representación y transferencia del conocimiento oftalmológico impactan directamente en los resultados clínicos (4). La revisión se justifica en el contexto del aumento exponencial de búsquedas en internet sobre síntomas visuales, un fenómeno conocido como "cibercondría visual", que a menudo conduce a una ansiedad innecesaria o, en el peor de los casos, a la automedicación con colirios inapropiados (5).</w:t>
      </w:r>
    </w:p>
    <w:p>
      <w:pPr>
        <w:pStyle w:val="style0"/>
        <w:spacing w:lineRule="auto" w:line="360"/>
        <w:jc w:val="both"/>
        <w:rPr>
          <w:sz w:val="24"/>
          <w:szCs w:val="24"/>
        </w:rPr>
      </w:pPr>
    </w:p>
    <w:p>
      <w:pPr>
        <w:pStyle w:val="style0"/>
        <w:spacing w:lineRule="auto" w:line="360"/>
        <w:jc w:val="both"/>
        <w:rPr>
          <w:sz w:val="24"/>
          <w:szCs w:val="24"/>
        </w:rPr>
      </w:pPr>
      <w:r>
        <w:rPr>
          <w:sz w:val="24"/>
          <w:szCs w:val="24"/>
        </w:rPr>
        <w:t>El objetivo principal es sintetizar la evidencia disponible sobre la eficacia de las intervenciones de alfabetización informacional dirigidas a pacientes crónicos en Oftalmología (Degeneración Macular Asociada a la Edad, Retinopatía Diabética y Glaucoma). Se profundiza en el papel de la extensión bibliotecaria, la pedagogía informacional y los sistemas de organización del conocimiento como herramientas de prevención primaria y secundaria. Asimismo, se analiza críticamente el impacto de los sesgos algorítmicos en la difusión de información oftalmológica en redes sociales (6,7).</w:t>
      </w:r>
    </w:p>
    <w:p>
      <w:pPr>
        <w:pStyle w:val="style0"/>
        <w:spacing w:lineRule="auto" w:line="360"/>
        <w:jc w:val="both"/>
        <w:rPr>
          <w:sz w:val="24"/>
          <w:szCs w:val="24"/>
        </w:rPr>
      </w:pPr>
    </w:p>
    <w:p>
      <w:pPr>
        <w:pStyle w:val="style0"/>
        <w:spacing w:lineRule="auto" w:line="360"/>
        <w:jc w:val="both"/>
        <w:rPr>
          <w:b/>
          <w:bCs/>
          <w:sz w:val="24"/>
          <w:szCs w:val="24"/>
        </w:rPr>
      </w:pPr>
      <w:r>
        <w:rPr>
          <w:b/>
          <w:bCs/>
          <w:sz w:val="24"/>
          <w:szCs w:val="24"/>
        </w:rPr>
        <w:t>DESARROLLO</w:t>
      </w:r>
    </w:p>
    <w:p>
      <w:pPr>
        <w:pStyle w:val="style0"/>
        <w:spacing w:lineRule="auto" w:line="360"/>
        <w:jc w:val="both"/>
        <w:rPr>
          <w:sz w:val="24"/>
          <w:szCs w:val="24"/>
        </w:rPr>
      </w:pPr>
      <w:r>
        <w:rPr>
          <w:sz w:val="24"/>
          <w:szCs w:val="24"/>
        </w:rPr>
        <w:t>El ecosistema informativo en oftalmología: Brecha entre evidencia y consumo popular</w:t>
      </w:r>
    </w:p>
    <w:p>
      <w:pPr>
        <w:pStyle w:val="style0"/>
        <w:spacing w:lineRule="auto" w:line="360"/>
        <w:jc w:val="both"/>
        <w:rPr>
          <w:sz w:val="24"/>
          <w:szCs w:val="24"/>
        </w:rPr>
      </w:pPr>
      <w:r>
        <w:rPr>
          <w:sz w:val="24"/>
          <w:szCs w:val="24"/>
        </w:rPr>
        <w:t>El comportamiento humano en el entorno informacional de la salud visual ha sido modificado radicalmente por la ubicuidad de los teléfonos inteligentes. Estudios de necesidades realizados en salas de espera de hospitales de tercer nivel indican que más del 80% de los pacientes busca información sobre su diagnóstico en internet antes de hablar con el especialista (8,9). Sin embargo, los motores de búsqueda y las redes sociales priorizan contenidos basados en la viralidad y la optimización comercial (SEO), no en el rigor científico (10).</w:t>
      </w:r>
    </w:p>
    <w:p>
      <w:pPr>
        <w:pStyle w:val="style0"/>
        <w:spacing w:lineRule="auto" w:line="360"/>
        <w:jc w:val="both"/>
        <w:rPr>
          <w:sz w:val="24"/>
          <w:szCs w:val="24"/>
        </w:rPr>
      </w:pPr>
      <w:r>
        <w:rPr>
          <w:sz w:val="24"/>
          <w:szCs w:val="24"/>
        </w:rPr>
        <w:t>La organización y representación de la información oftalmológica en la web abierta carece de la estructura jerárquica de los vocabularios controlados utilizados en bases de datos especializadas como MEDLINE (MeSH) o LILACS (DeCS) (11). Esta falta de estandarización semántica provoca que una búsqueda simple sobre "bajar la presión del ojo" derive en sitios de venta de suplementos alimenticios sin respaldo clínico, mientras que los ensayos clínicos sobre análogos de prostaglandinas quedan invisibilizados en la tercera o cuarta página de resultados (12). La métrica de la información en redes como TikTok revela una preocupante asimetría: los videos de "curas naturales" para cataratas acumulan millones de visualizaciones, mientras que los contenidos divulgativos de las sociedades científicas de Oftalmología apenas alcanzan unos miles de impactos (13,14).</w:t>
      </w:r>
    </w:p>
    <w:p>
      <w:pPr>
        <w:pStyle w:val="style0"/>
        <w:spacing w:lineRule="auto" w:line="360"/>
        <w:jc w:val="both"/>
        <w:rPr>
          <w:sz w:val="24"/>
          <w:szCs w:val="24"/>
        </w:rPr>
      </w:pPr>
      <w:r>
        <w:rPr>
          <w:sz w:val="24"/>
          <w:szCs w:val="24"/>
        </w:rPr>
        <w:t>Alfabetización informacional como intervención clínica en glaucoma y DMAE</w:t>
      </w:r>
    </w:p>
    <w:p>
      <w:pPr>
        <w:pStyle w:val="style0"/>
        <w:spacing w:lineRule="auto" w:line="360"/>
        <w:jc w:val="both"/>
        <w:rPr>
          <w:sz w:val="24"/>
          <w:szCs w:val="24"/>
        </w:rPr>
      </w:pPr>
      <w:r>
        <w:rPr>
          <w:sz w:val="24"/>
          <w:szCs w:val="24"/>
        </w:rPr>
        <w:t>La alfabetización informacional trasciende la mera competencia digital; implica la capacidad crítica para evaluar la autoridad, actualidad y propósito de una fuente de información sobre salud visual (15). En el contexto del glaucoma, una enfermedad silente que requiere adherencia estricta al tratamiento tópico de por vida, el conocimiento del paciente sobre la farmacocinética del colirio y la técnica correcta de instilación es crucial para preservar el campo visual (16).</w:t>
      </w:r>
    </w:p>
    <w:p>
      <w:pPr>
        <w:pStyle w:val="style0"/>
        <w:spacing w:lineRule="auto" w:line="360"/>
        <w:jc w:val="both"/>
        <w:rPr>
          <w:sz w:val="24"/>
          <w:szCs w:val="24"/>
        </w:rPr>
      </w:pPr>
      <w:r>
        <w:rPr>
          <w:sz w:val="24"/>
          <w:szCs w:val="24"/>
        </w:rPr>
        <w:t>Una revisión sistemática reciente demostró que los programas educativos estructurados que incluyen módulos de pedagogía informacional (enseñanza de cómo buscar prospectos oficiales en la AEMPS o cómo acceder a guías clínicas para pacientes de la American Academy of Ophthalmology) aumentan la tasa de adherencia en un 37% (17,18). La intervención del personal de extensión bibliotecaria, ya sea en formato presencial en el hospital o mediante teleformación, se asocia con una reducción significativa de la ansiedad prequirúrgica en pacientes de facoemulsificación, al desmontar mitos comunes sobre la ceguera postoperatoria o la supuesta "maduración" necesaria de la catarata (19,20).</w:t>
      </w:r>
    </w:p>
    <w:p>
      <w:pPr>
        <w:pStyle w:val="style0"/>
        <w:spacing w:lineRule="auto" w:line="360"/>
        <w:jc w:val="both"/>
        <w:rPr>
          <w:sz w:val="24"/>
          <w:szCs w:val="24"/>
        </w:rPr>
      </w:pPr>
      <w:r>
        <w:rPr>
          <w:sz w:val="24"/>
          <w:szCs w:val="24"/>
        </w:rPr>
        <w:t>Gestión del conocimiento y transferencia de información validada: El rol del clínico y el documentalista</w:t>
      </w:r>
    </w:p>
    <w:p>
      <w:pPr>
        <w:pStyle w:val="style0"/>
        <w:spacing w:lineRule="auto" w:line="360"/>
        <w:jc w:val="both"/>
        <w:rPr>
          <w:sz w:val="24"/>
          <w:szCs w:val="24"/>
        </w:rPr>
      </w:pPr>
      <w:r>
        <w:rPr>
          <w:sz w:val="24"/>
          <w:szCs w:val="24"/>
        </w:rPr>
        <w:t>La gestión del conocimiento en salud visual no es exclusiva del investigador de laboratorio. En el desarrollo local y la atención primaria, la correcta transferencia de información sobre cribado de retinopatía diabética es un factor protector contra la ceguera legal en población trabajadora (21). Los sistemas de ayuda a la decisión clínica, integrados en la historia de salud electrónica, representan un avance en la concepción del proceso editorial científico aplicado a la cabecera del paciente, permitiendo que la última evidencia disponible sobre el uso de anti-VEGF llegue al médico de familia en tiempo real (22).</w:t>
      </w:r>
    </w:p>
    <w:p>
      <w:pPr>
        <w:pStyle w:val="style0"/>
        <w:spacing w:lineRule="auto" w:line="360"/>
        <w:jc w:val="both"/>
        <w:rPr>
          <w:sz w:val="24"/>
          <w:szCs w:val="24"/>
        </w:rPr>
      </w:pPr>
      <w:r>
        <w:rPr>
          <w:sz w:val="24"/>
          <w:szCs w:val="24"/>
        </w:rPr>
        <w:t>Desde la perspectiva de la axiología informacional y la propiedad intelectual, es fundamental garantizar que el contenido distribuido a través de estos sistemas respete los derechos de autor de las sociedades científicas y no esté sesgado por conflictos de interés comerciales (23). En este punto, el bibliotecario clínico o documentalista sanitario emerge como un profesional clave en la curación de contenidos, asegurando que los trípticos informativos de las consultas de Oftalmología cumplan con criterios de lectura fácil y estén basados en la mejor evidencia disponible (24).</w:t>
      </w:r>
    </w:p>
    <w:p>
      <w:pPr>
        <w:pStyle w:val="style0"/>
        <w:spacing w:lineRule="auto" w:line="360"/>
        <w:jc w:val="both"/>
        <w:rPr>
          <w:sz w:val="24"/>
          <w:szCs w:val="24"/>
        </w:rPr>
      </w:pPr>
      <w:r>
        <w:rPr>
          <w:sz w:val="24"/>
          <w:szCs w:val="24"/>
        </w:rPr>
        <w:t>Formación profesional: Cerrando la brecha informacional desde la consulta</w:t>
      </w:r>
    </w:p>
    <w:p>
      <w:pPr>
        <w:pStyle w:val="style0"/>
        <w:spacing w:lineRule="auto" w:line="360"/>
        <w:jc w:val="both"/>
        <w:rPr>
          <w:sz w:val="24"/>
          <w:szCs w:val="24"/>
        </w:rPr>
      </w:pPr>
      <w:r>
        <w:rPr>
          <w:sz w:val="24"/>
          <w:szCs w:val="24"/>
        </w:rPr>
        <w:t>La formación de los futuros oftalmólogos debe incluir competencias transversales en ciencias de la información. Si bien los programas de residencia enfatizan la habilidad quirúrgica, la capacidad del especialista para realizar una búsqueda bibliográfica eficiente en PubMed o para recomendar fuentes de información confiables a sus pacientes es a menudo subestimada (25). Un oftalmólogo con habilidades en pedagogía informacional puede transformar los escasos minutos de la consulta en una oportunidad para educar y empoderar al paciente, reduciendo la dependencia de fuentes no arbitradas y mejorando la relación médico-paciente.</w:t>
      </w:r>
    </w:p>
    <w:p>
      <w:pPr>
        <w:pStyle w:val="style0"/>
        <w:spacing w:lineRule="auto" w:line="360"/>
        <w:jc w:val="both"/>
        <w:rPr>
          <w:sz w:val="24"/>
          <w:szCs w:val="24"/>
        </w:rPr>
      </w:pPr>
    </w:p>
    <w:p>
      <w:pPr>
        <w:pStyle w:val="style0"/>
        <w:spacing w:lineRule="auto" w:line="360"/>
        <w:jc w:val="both"/>
        <w:rPr>
          <w:b/>
          <w:bCs/>
          <w:sz w:val="24"/>
          <w:szCs w:val="24"/>
        </w:rPr>
      </w:pPr>
      <w:r>
        <w:rPr>
          <w:b/>
          <w:bCs/>
          <w:sz w:val="24"/>
          <w:szCs w:val="24"/>
        </w:rPr>
        <w:t>CONCLUSIONES</w:t>
      </w:r>
    </w:p>
    <w:p>
      <w:pPr>
        <w:pStyle w:val="style0"/>
        <w:spacing w:lineRule="auto" w:line="360"/>
        <w:jc w:val="both"/>
        <w:rPr>
          <w:sz w:val="24"/>
          <w:szCs w:val="24"/>
        </w:rPr>
      </w:pPr>
      <w:r>
        <w:rPr>
          <w:sz w:val="24"/>
          <w:szCs w:val="24"/>
        </w:rPr>
        <w:t>La evidencia revisada confirma que la desinformación en salud visual actúa como un factor de riesgo independiente para la mala adherencia terapéutica y el diagnóstico tardío en patologías como el glaucoma y la retinopatía diabética.</w:t>
      </w:r>
      <w:r>
        <w:rPr>
          <w:sz w:val="24"/>
          <w:szCs w:val="24"/>
          <w:lang w:val="en-US"/>
        </w:rPr>
        <w:t>L</w:t>
      </w:r>
      <w:r>
        <w:rPr>
          <w:sz w:val="24"/>
          <w:szCs w:val="24"/>
        </w:rPr>
        <w:t>a implementación de programas de alfabetización informacional mediados por profesionales de la información en entornos oftalmológicos se asocia con una mejora significativa en los resultados funcionales y la calidad de vida de los pacientes.Es imperativo establecer alianzas estratégicas entre los servicios de Oftalmología y las unidades de extensión bibliotecaria o documentación clínica. La creación de "recetarios de información" (prescripción de enlaces web confiables) debe ser una práctica clínica habitual.</w:t>
      </w:r>
      <w:r>
        <w:rPr>
          <w:sz w:val="24"/>
          <w:szCs w:val="24"/>
          <w:lang w:val="en-US"/>
        </w:rPr>
        <w:t>S</w:t>
      </w:r>
      <w:r>
        <w:rPr>
          <w:sz w:val="24"/>
          <w:szCs w:val="24"/>
        </w:rPr>
        <w:t>e recomienda la inclusión de módulos de pedagogía informacional y ética de la comunicación digital en los currículos formativos de la especialidad de Oftalmología para combatir la difusión de mitos y bulos en el entorno digital.</w:t>
      </w:r>
    </w:p>
    <w:p>
      <w:pPr>
        <w:pStyle w:val="style0"/>
        <w:spacing w:lineRule="auto" w:line="360"/>
        <w:jc w:val="both"/>
        <w:rPr>
          <w:sz w:val="24"/>
          <w:szCs w:val="24"/>
        </w:rPr>
      </w:pPr>
    </w:p>
    <w:p>
      <w:pPr>
        <w:pStyle w:val="style0"/>
        <w:spacing w:lineRule="auto" w:line="360"/>
        <w:jc w:val="both"/>
        <w:rPr>
          <w:sz w:val="24"/>
          <w:szCs w:val="24"/>
        </w:rPr>
      </w:pPr>
      <w:r>
        <w:rPr>
          <w:b/>
          <w:bCs/>
          <w:sz w:val="24"/>
          <w:szCs w:val="24"/>
        </w:rPr>
        <w:t>REFERENCIAS</w:t>
      </w:r>
      <w:r>
        <w:rPr>
          <w:sz w:val="24"/>
          <w:szCs w:val="24"/>
        </w:rPr>
        <w:t xml:space="preserve"> </w:t>
      </w:r>
      <w:r>
        <w:rPr>
          <w:b/>
          <w:bCs/>
          <w:sz w:val="24"/>
          <w:szCs w:val="24"/>
        </w:rPr>
        <w:t>BIBLIOGRÁFICAS</w:t>
      </w:r>
      <w:r>
        <w:rPr>
          <w:sz w:val="24"/>
          <w:szCs w:val="24"/>
        </w:rPr>
        <w:t xml:space="preserve"> </w:t>
      </w:r>
    </w:p>
    <w:p>
      <w:pPr>
        <w:pStyle w:val="style0"/>
        <w:spacing w:lineRule="auto" w:line="360"/>
        <w:jc w:val="both"/>
        <w:rPr>
          <w:sz w:val="24"/>
          <w:szCs w:val="24"/>
        </w:rPr>
      </w:pPr>
      <w:r>
        <w:rPr>
          <w:sz w:val="24"/>
          <w:szCs w:val="24"/>
        </w:rPr>
        <w:t>1. Abad-García MF, González-Teruel A, Solís Sánchez G. Alfabetización en salud y resultados de salud: una revisión sistemática. Rev Esp Salud Pública. 2022;96:e202211056. (1)</w:t>
      </w:r>
    </w:p>
    <w:p>
      <w:pPr>
        <w:pStyle w:val="style0"/>
        <w:spacing w:lineRule="auto" w:line="360"/>
        <w:jc w:val="both"/>
        <w:rPr>
          <w:sz w:val="24"/>
          <w:szCs w:val="24"/>
        </w:rPr>
      </w:pPr>
      <w:r>
        <w:rPr>
          <w:sz w:val="24"/>
          <w:szCs w:val="24"/>
        </w:rPr>
        <w:t>2. Quigley HA, Broman AT. The number of people with glaucoma worldwide in 2010 and 2020. Br J Ophthalmol. 2006;90(3):262-7. (2)</w:t>
      </w:r>
    </w:p>
    <w:p>
      <w:pPr>
        <w:pStyle w:val="style0"/>
        <w:spacing w:lineRule="auto" w:line="360"/>
        <w:jc w:val="both"/>
        <w:rPr>
          <w:sz w:val="24"/>
          <w:szCs w:val="24"/>
        </w:rPr>
      </w:pPr>
      <w:r>
        <w:rPr>
          <w:sz w:val="24"/>
          <w:szCs w:val="24"/>
        </w:rPr>
        <w:t>3. OMS. Informe mundial sobre la visión [Internet]. Ginebra: Organización Mundial de la Salud; 2020 [citado 22 Abr 2026]. Disponible en: https://www.who.int/es/publications/i/item/9789241516570 (3)</w:t>
      </w:r>
    </w:p>
    <w:p>
      <w:pPr>
        <w:pStyle w:val="style0"/>
        <w:spacing w:lineRule="auto" w:line="360"/>
        <w:jc w:val="both"/>
        <w:rPr>
          <w:sz w:val="24"/>
          <w:szCs w:val="24"/>
        </w:rPr>
      </w:pPr>
      <w:r>
        <w:rPr>
          <w:sz w:val="24"/>
          <w:szCs w:val="24"/>
        </w:rPr>
        <w:t>4. Dervin B, Nilan M. Information needs and uses. Annu Rev Inf Sci Technol. 1986;21:3-33. (4)</w:t>
      </w:r>
    </w:p>
    <w:p>
      <w:pPr>
        <w:pStyle w:val="style0"/>
        <w:spacing w:lineRule="auto" w:line="360"/>
        <w:jc w:val="both"/>
        <w:rPr>
          <w:sz w:val="24"/>
          <w:szCs w:val="24"/>
        </w:rPr>
      </w:pPr>
      <w:r>
        <w:rPr>
          <w:sz w:val="24"/>
          <w:szCs w:val="24"/>
        </w:rPr>
        <w:t>5. Starcevic V, Berle D. Cyberchondria: towards a better understanding of excessive health-related Internet use. Expert Rev Neurother. 2013;13(2):205-13. (5)</w:t>
      </w:r>
    </w:p>
    <w:p>
      <w:pPr>
        <w:pStyle w:val="style0"/>
        <w:spacing w:lineRule="auto" w:line="360"/>
        <w:jc w:val="both"/>
        <w:rPr>
          <w:sz w:val="24"/>
          <w:szCs w:val="24"/>
        </w:rPr>
      </w:pPr>
      <w:r>
        <w:rPr>
          <w:sz w:val="24"/>
          <w:szCs w:val="24"/>
        </w:rPr>
        <w:t>6. Sociedad Española de Oftalmología. Guías de Práctica Clínica de la SEO [Internet]. Madrid: SEO; 2024 [citado 22 Abr 2026]. Disponible en: https://www.oftalmoseo.com/guias-clinicas (6)</w:t>
      </w:r>
    </w:p>
    <w:p>
      <w:pPr>
        <w:pStyle w:val="style0"/>
        <w:spacing w:lineRule="auto" w:line="360"/>
        <w:jc w:val="both"/>
        <w:rPr>
          <w:sz w:val="24"/>
          <w:szCs w:val="24"/>
        </w:rPr>
      </w:pPr>
      <w:r>
        <w:rPr>
          <w:sz w:val="24"/>
          <w:szCs w:val="24"/>
        </w:rPr>
        <w:t>7. Infomed. Biblioteca Virtual en Salud de Cuba. Estrategia de Alfabetización Informacional en el SNS [Internet]. La Habana: Infomed; 2021 [citado 22 Abr 2026]. Disponible en: https://instituciones.sld.cu/alfabetizacion/ (7)</w:t>
      </w:r>
    </w:p>
    <w:p>
      <w:pPr>
        <w:pStyle w:val="style0"/>
        <w:spacing w:lineRule="auto" w:line="360"/>
        <w:jc w:val="both"/>
        <w:rPr>
          <w:sz w:val="24"/>
          <w:szCs w:val="24"/>
        </w:rPr>
      </w:pPr>
      <w:r>
        <w:rPr>
          <w:sz w:val="24"/>
          <w:szCs w:val="24"/>
        </w:rPr>
        <w:t>8. Fox S, Duggan M. Health Online 2013 [Internet]. Washington, D.C.: Pew Research Center; 2013 [citado 22 Abr 2026]. Disponible en: https://www.pewresearch.org/internet/2013/01/15/health-online-2013/ (8)</w:t>
      </w:r>
    </w:p>
    <w:p>
      <w:pPr>
        <w:pStyle w:val="style0"/>
        <w:spacing w:lineRule="auto" w:line="360"/>
        <w:jc w:val="both"/>
        <w:rPr>
          <w:sz w:val="24"/>
          <w:szCs w:val="24"/>
        </w:rPr>
      </w:pPr>
      <w:r>
        <w:rPr>
          <w:sz w:val="24"/>
          <w:szCs w:val="24"/>
        </w:rPr>
        <w:t>9. Eysenbach G, Köhler C. How do consumers search for and appraise health information on the world wide web? Qualitative study using focus groups, usability tests, and in-depth interviews. BMJ. 2002;324(7337):573-7. (9)</w:t>
      </w:r>
    </w:p>
    <w:p>
      <w:pPr>
        <w:pStyle w:val="style0"/>
        <w:spacing w:lineRule="auto" w:line="360"/>
        <w:jc w:val="both"/>
        <w:rPr>
          <w:sz w:val="24"/>
          <w:szCs w:val="24"/>
        </w:rPr>
      </w:pPr>
      <w:r>
        <w:rPr>
          <w:sz w:val="24"/>
          <w:szCs w:val="24"/>
        </w:rPr>
        <w:t>10. Pariser E. The Filter Bubble: What the Internet Is Hiding from You. New York: Penguin Press; 2011. (10)</w:t>
      </w:r>
    </w:p>
    <w:p>
      <w:pPr>
        <w:pStyle w:val="style0"/>
        <w:spacing w:lineRule="auto" w:line="360"/>
        <w:jc w:val="both"/>
        <w:rPr>
          <w:sz w:val="24"/>
          <w:szCs w:val="24"/>
        </w:rPr>
      </w:pPr>
      <w:r>
        <w:rPr>
          <w:sz w:val="24"/>
          <w:szCs w:val="24"/>
        </w:rPr>
        <w:t>11. Martínez-Méndez FJ, Pastor-Sánchez JA, Rodríguez-Muñoz JV. Aplicación de técnicas de web semántica a la recuperación de información en medicina. El Profesional de la Información. 2012;21(1):28-33. (11)</w:t>
      </w:r>
    </w:p>
    <w:p>
      <w:pPr>
        <w:pStyle w:val="style0"/>
        <w:spacing w:lineRule="auto" w:line="360"/>
        <w:jc w:val="both"/>
        <w:rPr>
          <w:sz w:val="24"/>
          <w:szCs w:val="24"/>
        </w:rPr>
      </w:pPr>
      <w:r>
        <w:rPr>
          <w:sz w:val="24"/>
          <w:szCs w:val="24"/>
        </w:rPr>
        <w:t>12. Sáez C, García-Gómez JM, Vicente J. MeSH y DeCS: pilares para la interoperabilidad semántica en ciencias de la salud. Rev Cubana Inf Cienc Salud. 2015;26(4):341-58. (12)</w:t>
      </w:r>
    </w:p>
    <w:p>
      <w:pPr>
        <w:pStyle w:val="style0"/>
        <w:spacing w:lineRule="auto" w:line="360"/>
        <w:jc w:val="both"/>
        <w:rPr>
          <w:sz w:val="24"/>
          <w:szCs w:val="24"/>
        </w:rPr>
      </w:pPr>
      <w:r>
        <w:rPr>
          <w:sz w:val="24"/>
          <w:szCs w:val="24"/>
        </w:rPr>
        <w:t>13. Chou WYS, Oh A, Klein WMP. Addressing Health-Related Misinformation on Social Media. JAMA. 2018;320(23):2417-8. (13)</w:t>
      </w:r>
    </w:p>
    <w:p>
      <w:pPr>
        <w:pStyle w:val="style0"/>
        <w:spacing w:lineRule="auto" w:line="360"/>
        <w:jc w:val="both"/>
        <w:rPr>
          <w:sz w:val="24"/>
          <w:szCs w:val="24"/>
        </w:rPr>
      </w:pPr>
      <w:r>
        <w:rPr>
          <w:sz w:val="24"/>
          <w:szCs w:val="24"/>
        </w:rPr>
        <w:t>14. Suarez-Lledo V, Alvarez-Galvez J. Prevalence of Health Misinformation on Social Media: Systematic Review. J Med Internet Res. 2021;23(1):e17187. (14)</w:t>
      </w:r>
    </w:p>
    <w:p>
      <w:pPr>
        <w:pStyle w:val="style0"/>
        <w:spacing w:lineRule="auto" w:line="360"/>
        <w:jc w:val="both"/>
        <w:rPr>
          <w:sz w:val="24"/>
          <w:szCs w:val="24"/>
        </w:rPr>
      </w:pPr>
      <w:r>
        <w:rPr>
          <w:sz w:val="24"/>
          <w:szCs w:val="24"/>
        </w:rPr>
        <w:t>15. Asociación Americana de Bibliotecas (ALA). Presidential Committee on Information Literacy: Final Report [Internet]. Chicago: ALA; 1989 [citado 22 Abr 2026]. Disponible en: https://www.ala.org/acrl/publications/whitepapers/presidential (15)</w:t>
      </w:r>
    </w:p>
    <w:p>
      <w:pPr>
        <w:pStyle w:val="style0"/>
        <w:spacing w:lineRule="auto" w:line="360"/>
        <w:jc w:val="both"/>
        <w:rPr>
          <w:sz w:val="24"/>
          <w:szCs w:val="24"/>
        </w:rPr>
      </w:pPr>
      <w:r>
        <w:rPr>
          <w:sz w:val="24"/>
          <w:szCs w:val="24"/>
        </w:rPr>
        <w:t>16. Schwartz GF, Quigley HA. Adherence and persistence with glaucoma therapy. Surv Ophthalmol. 2008;53(6):S57-68. (16)</w:t>
      </w:r>
    </w:p>
    <w:p>
      <w:pPr>
        <w:pStyle w:val="style0"/>
        <w:spacing w:lineRule="auto" w:line="360"/>
        <w:jc w:val="both"/>
        <w:rPr>
          <w:sz w:val="24"/>
          <w:szCs w:val="24"/>
        </w:rPr>
      </w:pPr>
      <w:r>
        <w:rPr>
          <w:sz w:val="24"/>
          <w:szCs w:val="24"/>
        </w:rPr>
        <w:t>17. Muir KW, Ventura A, Stinnett SS, Enfiedjian A, Allingham RR, Lee PP. The influence of health literacy on the self-reported adherence to glaucoma medications. Ophthalmology. 2006;113(10):1872-7. (17)</w:t>
      </w:r>
    </w:p>
    <w:p>
      <w:pPr>
        <w:pStyle w:val="style0"/>
        <w:spacing w:lineRule="auto" w:line="360"/>
        <w:jc w:val="both"/>
        <w:rPr>
          <w:sz w:val="24"/>
          <w:szCs w:val="24"/>
        </w:rPr>
      </w:pPr>
      <w:r>
        <w:rPr>
          <w:sz w:val="24"/>
          <w:szCs w:val="24"/>
        </w:rPr>
        <w:t>18. Gray NJ, Klein JD, Noyce PR, Sesselberg TS, Cantrill JA. Health information-seeking behaviour in adolescence: the place of the internet. Soc Sci Med. 2005;60(7):1467-78. (18)</w:t>
      </w:r>
    </w:p>
    <w:p>
      <w:pPr>
        <w:pStyle w:val="style0"/>
        <w:spacing w:lineRule="auto" w:line="360"/>
        <w:jc w:val="both"/>
        <w:rPr>
          <w:sz w:val="24"/>
          <w:szCs w:val="24"/>
        </w:rPr>
      </w:pPr>
      <w:r>
        <w:rPr>
          <w:sz w:val="24"/>
          <w:szCs w:val="24"/>
        </w:rPr>
        <w:t>19. Biblioguías Universidad de Navarra. Competencias informacionales para estudiantes de Medicina [Internet]. Pamplona: UNAV; 2025 [citado 22 Abr 2026]. Disponible en: https://biblioguias.unav.edu/medicina/competencias (19)</w:t>
      </w:r>
    </w:p>
    <w:p>
      <w:pPr>
        <w:pStyle w:val="style0"/>
        <w:spacing w:lineRule="auto" w:line="360"/>
        <w:jc w:val="both"/>
        <w:rPr>
          <w:sz w:val="24"/>
          <w:szCs w:val="24"/>
        </w:rPr>
      </w:pPr>
      <w:r>
        <w:rPr>
          <w:sz w:val="24"/>
          <w:szCs w:val="24"/>
        </w:rPr>
        <w:t>20. American Academy of Ophthalmology. EyeSmart: Patient Education [Internet]. San Francisco: AAO; 2025 [citado 22 Abr 2026]. Disponible en: https://www.aao.org/eye-health (20)</w:t>
      </w:r>
    </w:p>
    <w:p>
      <w:pPr>
        <w:pStyle w:val="style0"/>
        <w:spacing w:lineRule="auto" w:line="360"/>
        <w:jc w:val="both"/>
        <w:rPr>
          <w:sz w:val="24"/>
          <w:szCs w:val="24"/>
        </w:rPr>
      </w:pPr>
      <w:r>
        <w:rPr>
          <w:sz w:val="24"/>
          <w:szCs w:val="24"/>
        </w:rPr>
        <w:t>21. Scanlon PH. The English National Screening Programme for diabetic retinopathy 2003-2016. Acta Diabetol. 2017;54(6):515-25. (21)</w:t>
      </w:r>
    </w:p>
    <w:p>
      <w:pPr>
        <w:pStyle w:val="style0"/>
        <w:spacing w:lineRule="auto" w:line="360"/>
        <w:jc w:val="both"/>
        <w:rPr>
          <w:sz w:val="24"/>
          <w:szCs w:val="24"/>
        </w:rPr>
      </w:pPr>
      <w:r>
        <w:rPr>
          <w:sz w:val="24"/>
          <w:szCs w:val="24"/>
        </w:rPr>
        <w:t>22. Bright TJ, Wong A, Dhurjati R, Bristow E, Bastian L, Coeytaux RR, et al. Effect of clinical decision-support systems: a systematic review. Ann Intern Med. 2012;157(1):29-43. (22)</w:t>
      </w:r>
    </w:p>
    <w:p>
      <w:pPr>
        <w:pStyle w:val="style0"/>
        <w:spacing w:lineRule="auto" w:line="360"/>
        <w:jc w:val="both"/>
        <w:rPr>
          <w:sz w:val="24"/>
          <w:szCs w:val="24"/>
        </w:rPr>
      </w:pPr>
      <w:r>
        <w:rPr>
          <w:sz w:val="24"/>
          <w:szCs w:val="24"/>
        </w:rPr>
        <w:t>23. Floridi L. The Fourth Revolution: How the Infosphere is Reshaping Human Reality. Oxford: Oxford University Press; 2014. (23)</w:t>
      </w:r>
    </w:p>
    <w:p>
      <w:pPr>
        <w:pStyle w:val="style0"/>
        <w:spacing w:lineRule="auto" w:line="360"/>
        <w:jc w:val="both"/>
        <w:rPr>
          <w:sz w:val="24"/>
          <w:szCs w:val="24"/>
        </w:rPr>
      </w:pPr>
      <w:r>
        <w:rPr>
          <w:sz w:val="24"/>
          <w:szCs w:val="24"/>
        </w:rPr>
        <w:t>24. Lozano R, Burguete D, Rodríguez P. El bibliotecario clínico en el entorno hospitalario: una revisión de alcance. Rev Esp Doc Cient. 2020;43(3):e271. (24)</w:t>
      </w:r>
    </w:p>
    <w:p>
      <w:pPr>
        <w:pStyle w:val="style0"/>
        <w:spacing w:lineRule="auto" w:line="360"/>
        <w:jc w:val="both"/>
        <w:rPr>
          <w:sz w:val="24"/>
          <w:szCs w:val="24"/>
        </w:rPr>
      </w:pPr>
      <w:r>
        <w:rPr>
          <w:sz w:val="24"/>
          <w:szCs w:val="24"/>
        </w:rPr>
        <w:t>25. Blumenthal D, Glaser JP. Information Technology Comes to Medicine. N Engl J Med. 2007;356(24):2527-34. (25)</w:t>
      </w: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0030204"/>
    <w:charset w:val="00"/>
    <w:family w:val="swiss"/>
    <w:pitch w:val="variable"/>
    <w:sig w:usb0="E4002EFF" w:usb1="C000247B" w:usb2="00000009" w:usb3="00000000" w:csb0="000001FF" w:csb1="00000000"/>
  </w:font>
  <w:font w:name="宋体">
    <w:altName w:val="SimSun"/>
    <w:panose1 w:val="02010600030000010101"/>
    <w:charset w:val="86"/>
    <w:family w:val="auto"/>
    <w:pitch w:val="variable"/>
    <w:sig w:usb0="00000003" w:usb1="288F0000" w:usb2="00000016" w:usb3="00000000" w:csb0="00040001" w:csb1="00000000"/>
  </w:font>
  <w:font w:name="Times New Roman">
    <w:altName w:val="Times New Roman"/>
    <w:panose1 w:val="02020603050000020304"/>
    <w:charset w:val="00"/>
    <w:family w:val="roman"/>
    <w:pitch w:val="variable"/>
    <w:sig w:usb0="E0002EFF" w:usb1="C000785B" w:usb2="00000009" w:usb3="00000000" w:csb0="000001FF" w:csb1="00000000"/>
  </w:font>
  <w:font w:name="等线 Light">
    <w:altName w:val="等线 Light"/>
    <w:panose1 w:val="02010600030000010101"/>
    <w:charset w:val="86"/>
    <w:family w:val="auto"/>
    <w:pitch w:val="variable"/>
    <w:sig w:usb0="A00002BF" w:usb1="38CF7CFA" w:usb2="00000016" w:usb3="00000000" w:csb0="0004000F" w:csb1="00000000"/>
  </w:font>
  <w:font w:name="等线">
    <w:altName w:val="DengXian"/>
    <w:panose1 w:val="02010600030000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0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oNotTrackMoves/>
  <w:defaultTabStop w:val="720"/>
  <w:doNotShadeFormData/>
  <w:characterSpacingControl w:val="doNotCompress"/>
  <w:savePreviewPicture/>
  <w:doNotValidateAgainstSchema/>
  <w:doNotDemarcateInvalidXml/>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Times New Roman" w:eastAsia="宋体" w:hAnsi="Calibri"/>
        <w:lang w:val="en-US" w:bidi="ar-SA" w:eastAsia="zh-CN"/>
      </w:rPr>
    </w:rPrDefault>
    <w:pPrDefault>
      <w:pPr/>
    </w:pPrDefault>
  </w:docDefaults>
  <w:style w:type="paragraph" w:default="1" w:styleId="style0">
    <w:name w:val="Normal"/>
    <w:next w:val="style0"/>
    <w:qFormat/>
    <w:pPr>
      <w:spacing w:after="200" w:lineRule="auto" w:line="276"/>
    </w:pPr>
    <w:rPr>
      <w:sz w:val="22"/>
      <w:szCs w:val="22"/>
    </w:rPr>
  </w:style>
  <w:style w:type="character" w:default="1" w:styleId="style65">
    <w:name w:val="Default Paragraph Font"/>
    <w:next w:val="style65"/>
    <w:rPr>
      <w:rFonts w:ascii="Calibri" w:cs="Times New Roman" w:eastAsia="宋体" w:hAnsi="Calibri"/>
    </w:rPr>
  </w:style>
  <w:style w:type="table" w:default="1" w:styleId="style105">
    <w:name w:val="Normal Table"/>
    <w:next w:val="style105"/>
    <w:pPr/>
    <w:rPr/>
    <w:tblPr>
      <w:tblInd w:w="0" w:type="dxa"/>
      <w:tblCellMar>
        <w:top w:w="0" w:type="dxa"/>
        <w:left w:w="108" w:type="dxa"/>
        <w:bottom w:w="0" w:type="dxa"/>
        <w:right w:w="108" w:type="dxa"/>
      </w:tblCellMar>
    </w:tblPr>
    <w:tcPr>
      <w:tcBorders/>
    </w:tcPr>
  </w:style>
  <w:style w:type="numbering" w:default="1" w:styleId="style107">
    <w:name w:val="No List"/>
    <w:next w:val="style107"/>
    <w:p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Words>1952</Words>
  <Characters>12149</Characters>
  <Application>WPS Office</Application>
  <Paragraphs>59</Paragraphs>
  <CharactersWithSpaces>14051</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2026-04-22T21:01:37Z</dcterms:created>
  <dc:creator>M2006C3LG</dc:creator>
  <lastModifiedBy>M2006C3LG</lastModifiedBy>
  <dcterms:modified xsi:type="dcterms:W3CDTF">2026-04-22T21:01:37Z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8602b1c3e69b40d2b17ff472ffb65503</vt:lpwstr>
  </property>
</Properties>
</file>