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Intervención educativa para la prevención del embarazo adolescente. Julio Grave de Peralta. Octubre </w:t>
      </w:r>
      <w:r>
        <w:rPr>
          <w:rFonts w:ascii="Arial" w:hAnsi="Arial" w:cs="Arial" w:eastAsia="Arial"/>
          <w:b/>
          <w:color w:val="000000"/>
          <w:spacing w:val="0"/>
          <w:position w:val="0"/>
          <w:sz w:val="24"/>
          <w:shd w:fill="auto" w:val="clear"/>
        </w:rPr>
        <w:t xml:space="preserve">- Diciembre 2022</w:t>
      </w:r>
    </w:p>
    <w:p>
      <w:pPr>
        <w:tabs>
          <w:tab w:val="left" w:pos="1080" w:leader="none"/>
        </w:tabs>
        <w:spacing w:before="0" w:after="160" w:line="36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Henry Daniel Ávalos Rivas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Nirian Infanzón Lorenzo</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Daylin López Sánchez</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,Elber Sánchez Serrano</w:t>
      </w:r>
      <w:r>
        <w:rPr>
          <w:rFonts w:ascii="Arial" w:hAnsi="Arial" w:cs="Arial" w:eastAsia="Arial"/>
          <w:color w:val="auto"/>
          <w:spacing w:val="0"/>
          <w:position w:val="0"/>
          <w:sz w:val="24"/>
          <w:shd w:fill="auto" w:val="clear"/>
          <w:vertAlign w:val="superscript"/>
        </w:rPr>
        <w:t xml:space="preserve">4.</w:t>
      </w:r>
    </w:p>
    <w:p>
      <w:pPr>
        <w:tabs>
          <w:tab w:val="left" w:pos="1080" w:leader="none"/>
        </w:tabs>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Especialista de ll Grado en Medicina Interna. Profesor auxiliar. Policlínico Universitario “Julio Grave de Peralta”. Holguín. Cuba. </w:t>
      </w:r>
      <w:r>
        <w:rPr>
          <w:rFonts w:ascii="Arial" w:hAnsi="Arial" w:cs="Arial" w:eastAsia="Arial"/>
          <w:color w:val="000099"/>
          <w:spacing w:val="0"/>
          <w:position w:val="0"/>
          <w:sz w:val="24"/>
          <w:shd w:fill="auto" w:val="clear"/>
        </w:rPr>
        <w:t xml:space="preserve">avalosh420</w:t>
      </w:r>
      <w:r>
        <w:rPr>
          <w:rFonts w:ascii="Arial" w:hAnsi="Arial" w:cs="Arial" w:eastAsia="Arial"/>
          <w:color w:val="000099"/>
          <w:spacing w:val="0"/>
          <w:position w:val="0"/>
          <w:sz w:val="24"/>
          <w:shd w:fill="D9D9D9" w:val="clear"/>
        </w:rPr>
        <w:t xml:space="preserve">@gmail.com</w:t>
      </w:r>
      <w:r>
        <w:rPr>
          <w:rFonts w:ascii="Arial" w:hAnsi="Arial" w:cs="Arial" w:eastAsia="Arial"/>
          <w:color w:val="auto"/>
          <w:spacing w:val="0"/>
          <w:position w:val="0"/>
          <w:sz w:val="24"/>
          <w:shd w:fill="auto" w:val="clear"/>
        </w:rPr>
        <w:t xml:space="preserve"> </w:t>
      </w:r>
      <w:hyperlink xmlns:r="http://schemas.openxmlformats.org/officeDocument/2006/relationships" r:id="docRId0">
        <w:r>
          <w:rPr>
            <w:rFonts w:ascii="Arial" w:hAnsi="Arial" w:cs="Arial" w:eastAsia="Arial"/>
            <w:color w:val="000099"/>
            <w:spacing w:val="0"/>
            <w:position w:val="0"/>
            <w:sz w:val="24"/>
            <w:u w:val="single"/>
            <w:shd w:fill="auto" w:val="clear"/>
          </w:rPr>
          <w:t xml:space="preserve">http://orcid.org/0000-0001-5887-8332</w:t>
        </w:r>
      </w:hyperlink>
      <w:r>
        <w:rPr>
          <w:rFonts w:ascii="Arial" w:hAnsi="Arial" w:cs="Arial" w:eastAsia="Arial"/>
          <w:color w:val="auto"/>
          <w:spacing w:val="0"/>
          <w:position w:val="0"/>
          <w:sz w:val="24"/>
          <w:shd w:fill="auto" w:val="clear"/>
        </w:rPr>
        <w:t xml:space="preserve"> .</w:t>
      </w:r>
    </w:p>
    <w:p>
      <w:pPr>
        <w:tabs>
          <w:tab w:val="left" w:pos="1080" w:leader="none"/>
        </w:tabs>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Máster en Educación Médica. Profesor auxiliar. Universidad de Ciencias Médicas. Holguín. Cuba. </w:t>
      </w:r>
      <w:r>
        <w:rPr>
          <w:rFonts w:ascii="Arial" w:hAnsi="Arial" w:cs="Arial" w:eastAsia="Arial"/>
          <w:color w:val="000099"/>
          <w:spacing w:val="0"/>
          <w:position w:val="0"/>
          <w:sz w:val="24"/>
          <w:shd w:fill="auto" w:val="clear"/>
        </w:rPr>
        <w:t xml:space="preserve">infanzoneliza</w:t>
      </w:r>
      <w:r>
        <w:rPr>
          <w:rFonts w:ascii="Arial" w:hAnsi="Arial" w:cs="Arial" w:eastAsia="Arial"/>
          <w:color w:val="000099"/>
          <w:spacing w:val="0"/>
          <w:position w:val="0"/>
          <w:sz w:val="24"/>
          <w:shd w:fill="D9D9D9" w:val="clear"/>
        </w:rPr>
        <w:t xml:space="preserve">@gmail.com </w:t>
      </w:r>
      <w:hyperlink xmlns:r="http://schemas.openxmlformats.org/officeDocument/2006/relationships" r:id="docRId1">
        <w:r>
          <w:rPr>
            <w:rFonts w:ascii="Arial" w:hAnsi="Arial" w:cs="Arial" w:eastAsia="Arial"/>
            <w:b/>
            <w:color w:val="000099"/>
            <w:spacing w:val="0"/>
            <w:position w:val="0"/>
            <w:sz w:val="24"/>
            <w:u w:val="single"/>
            <w:shd w:fill="auto" w:val="clear"/>
          </w:rPr>
          <w:t xml:space="preserve">http://orcid.org/0000-0002-6288-583</w:t>
        </w:r>
      </w:hyperlink>
      <w:r>
        <w:rPr>
          <w:rFonts w:ascii="Arial" w:hAnsi="Arial" w:cs="Arial" w:eastAsia="Arial"/>
          <w:color w:val="auto"/>
          <w:spacing w:val="0"/>
          <w:position w:val="0"/>
          <w:sz w:val="24"/>
          <w:shd w:fill="auto" w:val="clear"/>
        </w:rPr>
        <w:t xml:space="preserve">.</w:t>
      </w: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3.-Especialista de Segundo Grado en Medicina General Integral.Profesor asistente.  Policlínico Universitario “Julio Grave de Peralta” daylinlopezsanchez@gmail.com </w:t>
      </w:r>
      <w:hyperlink xmlns:r="http://schemas.openxmlformats.org/officeDocument/2006/relationships" r:id="docRId2">
        <w:r>
          <w:rPr>
            <w:rFonts w:ascii="Arial" w:hAnsi="Arial" w:cs="Arial" w:eastAsia="Arial"/>
            <w:color w:val="0000FF"/>
            <w:spacing w:val="0"/>
            <w:position w:val="0"/>
            <w:sz w:val="24"/>
            <w:u w:val="single"/>
            <w:shd w:fill="FFFFFF" w:val="clear"/>
          </w:rPr>
          <w:t xml:space="preserve">http://orcid.org/0000-0003-4151-7527</w:t>
        </w:r>
      </w:hyperlink>
      <w:r>
        <w:rPr>
          <w:rFonts w:ascii="Arial" w:hAnsi="Arial" w:cs="Arial" w:eastAsia="Arial"/>
          <w:color w:val="auto"/>
          <w:spacing w:val="0"/>
          <w:position w:val="0"/>
          <w:sz w:val="24"/>
          <w:shd w:fill="FFFFFF" w:val="clear"/>
        </w:rPr>
        <w:t xml:space="preserve">. Holguín. Cuba.</w:t>
      </w:r>
    </w:p>
    <w:p>
      <w:pPr>
        <w:spacing w:before="0" w:after="240" w:line="360"/>
        <w:ind w:right="49"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4-Msc en Educación Médica.Especialista de segundo grado en Ginecobstetricia. Profesor Auxiliar</w:t>
      </w:r>
      <w:r>
        <w:rPr>
          <w:rFonts w:ascii="Arial" w:hAnsi="Arial" w:cs="Arial" w:eastAsia="Arial"/>
          <w:b/>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Policlínico Universitario “Julio Grave de </w:t>
      </w:r>
      <w:r>
        <w:rPr>
          <w:rFonts w:ascii="Arial" w:hAnsi="Arial" w:cs="Arial" w:eastAsia="Arial"/>
          <w:color w:val="0563C1"/>
          <w:spacing w:val="0"/>
          <w:position w:val="0"/>
          <w:sz w:val="24"/>
          <w:u w:val="single"/>
          <w:shd w:fill="auto" w:val="clear"/>
        </w:rPr>
        <w:t xml:space="preserve">Peralta”.</w:t>
      </w:r>
      <w:r>
        <w:rPr>
          <w:rFonts w:ascii="Arial" w:hAnsi="Arial" w:cs="Arial" w:eastAsia="Arial"/>
          <w:b/>
          <w:color w:val="000000"/>
          <w:spacing w:val="0"/>
          <w:position w:val="0"/>
          <w:sz w:val="24"/>
          <w:u w:val="single"/>
          <w:shd w:fill="auto" w:val="clear"/>
        </w:rPr>
        <w:t xml:space="preserve">Elbersanchez774</w:t>
      </w:r>
      <w:r>
        <w:rPr>
          <w:rFonts w:ascii="Arial" w:hAnsi="Arial" w:cs="Arial" w:eastAsia="Arial"/>
          <w:color w:val="0563C1"/>
          <w:spacing w:val="0"/>
          <w:position w:val="0"/>
          <w:sz w:val="24"/>
          <w:u w:val="single"/>
          <w:shd w:fill="auto" w:val="clear"/>
        </w:rPr>
        <w:t xml:space="preserve">@gmail.com</w:t>
      </w:r>
      <w:r>
        <w:rPr>
          <w:rFonts w:ascii="Arial" w:hAnsi="Arial" w:cs="Arial" w:eastAsia="Arial"/>
          <w:color w:val="auto"/>
          <w:spacing w:val="0"/>
          <w:position w:val="0"/>
          <w:sz w:val="24"/>
          <w:shd w:fill="auto" w:val="clear"/>
        </w:rPr>
        <w:t xml:space="preserve"> </w:t>
      </w:r>
      <w:hyperlink xmlns:r="http://schemas.openxmlformats.org/officeDocument/2006/relationships" r:id="docRId3">
        <w:r>
          <w:rPr>
            <w:rFonts w:ascii="Arial" w:hAnsi="Arial" w:cs="Arial" w:eastAsia="Arial"/>
            <w:color w:val="0563C1"/>
            <w:spacing w:val="0"/>
            <w:position w:val="0"/>
            <w:sz w:val="24"/>
            <w:u w:val="single"/>
            <w:shd w:fill="auto" w:val="clear"/>
          </w:rPr>
          <w:t xml:space="preserve">http://orcid.org/0000-0003-1065-9557Holguín</w:t>
        </w:r>
      </w:hyperlink>
      <w:r>
        <w:rPr>
          <w:rFonts w:ascii="Arial" w:hAnsi="Arial" w:cs="Arial" w:eastAsia="Arial"/>
          <w:color w:val="auto"/>
          <w:spacing w:val="0"/>
          <w:position w:val="0"/>
          <w:sz w:val="24"/>
          <w:shd w:fill="auto" w:val="clear"/>
        </w:rPr>
        <w:t xml:space="preserve"> .Cuba.</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Resumen:Introducción: </w:t>
      </w:r>
      <w:r>
        <w:rPr>
          <w:rFonts w:ascii="Arial" w:hAnsi="Arial" w:cs="Arial" w:eastAsia="Arial"/>
          <w:color w:val="auto"/>
          <w:spacing w:val="0"/>
          <w:position w:val="0"/>
          <w:sz w:val="24"/>
          <w:shd w:fill="auto" w:val="clear"/>
        </w:rPr>
        <w:t xml:space="preserve">Los altos índices de embarazo en la adolescencia demuestra que se están incumpliendo plenamente las obligaciones que corresponden a los sistemas de salud, gran parte de los adolescente actúan superficial e irresponsablemente  sin estar conscientes de las complicaciones negativas de este fenómeno. </w:t>
      </w:r>
      <w:r>
        <w:rPr>
          <w:rFonts w:ascii="Arial" w:hAnsi="Arial" w:cs="Arial" w:eastAsia="Arial"/>
          <w:b/>
          <w:color w:val="000000"/>
          <w:spacing w:val="0"/>
          <w:position w:val="0"/>
          <w:sz w:val="24"/>
          <w:shd w:fill="auto" w:val="clear"/>
        </w:rPr>
        <w:t xml:space="preserve">Objetivo: </w:t>
      </w:r>
      <w:r>
        <w:rPr>
          <w:rFonts w:ascii="Arial" w:hAnsi="Arial" w:cs="Arial" w:eastAsia="Arial"/>
          <w:color w:val="000000"/>
          <w:spacing w:val="0"/>
          <w:position w:val="0"/>
          <w:sz w:val="24"/>
          <w:shd w:fill="auto" w:val="clear"/>
        </w:rPr>
        <w:t xml:space="preserve">Implementar una intervención educativa para la prevención del embarazo en la adolescencia en estudiantes del Centro Mixto Felipe Fuentes del área de salud “Julio Grave de Peralta” entre enero a diciembre de 2022. </w:t>
      </w:r>
      <w:r>
        <w:rPr>
          <w:rFonts w:ascii="Arial" w:hAnsi="Arial" w:cs="Arial" w:eastAsia="Arial"/>
          <w:b/>
          <w:color w:val="000000"/>
          <w:spacing w:val="0"/>
          <w:position w:val="0"/>
          <w:sz w:val="24"/>
          <w:shd w:fill="auto" w:val="clear"/>
        </w:rPr>
        <w:t xml:space="preserve">Material y métodos: </w:t>
      </w:r>
      <w:r>
        <w:rPr>
          <w:rFonts w:ascii="Arial" w:hAnsi="Arial" w:cs="Arial" w:eastAsia="Arial"/>
          <w:color w:val="000000"/>
          <w:spacing w:val="0"/>
          <w:position w:val="0"/>
          <w:sz w:val="24"/>
          <w:shd w:fill="auto" w:val="clear"/>
        </w:rPr>
        <w:t xml:space="preserve">S</w:t>
      </w:r>
      <w:r>
        <w:rPr>
          <w:rFonts w:ascii="Arial" w:hAnsi="Arial" w:cs="Arial" w:eastAsia="Arial"/>
          <w:color w:val="auto"/>
          <w:spacing w:val="0"/>
          <w:position w:val="0"/>
          <w:sz w:val="24"/>
          <w:shd w:fill="auto" w:val="clear"/>
        </w:rPr>
        <w:t xml:space="preserve">e realizó un estudio  cuasi-experimental de intervención educativa con la finalidad de elevar conocimientos sobre el embarazo en la adolescencia y prevenirlo. El universo de estudio quedó constituido por un total de 280 estudiantes de noveno a duodécimo grado de la institución educativa, la muestra se conformó por aleatoriedad simple no probabilística con 160 estudiantes. Los datos fueron recogidos de la implementación de un cuestionario antes y después de aplicada la intervención educativa. </w:t>
      </w:r>
      <w:r>
        <w:rPr>
          <w:rFonts w:ascii="Arial" w:hAnsi="Arial" w:cs="Arial" w:eastAsia="Arial"/>
          <w:b/>
          <w:color w:val="auto"/>
          <w:spacing w:val="0"/>
          <w:position w:val="0"/>
          <w:sz w:val="24"/>
          <w:shd w:fill="auto" w:val="clear"/>
        </w:rPr>
        <w:t xml:space="preserve">Resultados:</w:t>
      </w:r>
      <w:r>
        <w:rPr>
          <w:rFonts w:ascii="Arial" w:hAnsi="Arial" w:cs="Arial" w:eastAsia="Arial"/>
          <w:color w:val="auto"/>
          <w:spacing w:val="0"/>
          <w:position w:val="0"/>
          <w:sz w:val="24"/>
          <w:shd w:fill="auto" w:val="clear"/>
        </w:rPr>
        <w:t xml:space="preserve">El diagnóstico reveló que es pobre el nivel de conocimientos en sentido general en cuanto a la prevención del embarazo a la adolescencia lo que justificó la implementación de una intervención educativa. </w:t>
      </w:r>
      <w:r>
        <w:rPr>
          <w:rFonts w:ascii="Arial" w:hAnsi="Arial" w:cs="Arial" w:eastAsia="Arial"/>
          <w:b/>
          <w:color w:val="auto"/>
          <w:spacing w:val="0"/>
          <w:position w:val="0"/>
          <w:sz w:val="24"/>
          <w:shd w:fill="auto" w:val="clear"/>
        </w:rPr>
        <w:t xml:space="preserve">Conclusiones: </w:t>
      </w:r>
      <w:r>
        <w:rPr>
          <w:rFonts w:ascii="Arial" w:hAnsi="Arial" w:cs="Arial" w:eastAsia="Arial"/>
          <w:color w:val="auto"/>
          <w:spacing w:val="0"/>
          <w:position w:val="0"/>
          <w:sz w:val="24"/>
          <w:shd w:fill="auto" w:val="clear"/>
        </w:rPr>
        <w:t xml:space="preserve">Las acciones de la intervención surtieron efecto mayor al ser dinamizadas con el empleo de las TIC’s y las redes sociales, se constata la modificación adecuada del nivel de conocimientos por parte de los casos de estudio con lo que se valida la hipótesis de la investigación.</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DeSC: </w:t>
      </w:r>
      <w:r>
        <w:rPr>
          <w:rFonts w:ascii="Arial" w:hAnsi="Arial" w:cs="Arial" w:eastAsia="Arial"/>
          <w:color w:val="auto"/>
          <w:spacing w:val="0"/>
          <w:position w:val="0"/>
          <w:sz w:val="24"/>
          <w:shd w:fill="auto" w:val="clear"/>
        </w:rPr>
        <w:t xml:space="preserve">Atención Primaria, embarazo en la adolescencia, intervención educativa, área de salud.</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Summary:Introduction: The high pregnancy indexes in the adolescence demonstrate that incumpliendo is been fully the obligations that correspond to the systems of health, the adolescent's great part they act superficial and irresponsibly without being aware of the negative complications of this phenomenon. Objective: To implement an educational intervention for the prevention of the pregnancy in the adolescence in students of the Mixed Center Felipe Fuentes of the area of health “Julio Burdens of it Banks” among January to December of 2022. Material and methods: He/she was carried out a quasi-experimental study of educational intervention with the purpose of to elevate knowledge on the pregnancy in the adolescence and to prevent it. The study universe was constituted by a total of 280 students from ninth to twelfth grade of the educational institution, the sample conformed to for randomness simple non probabilística with 160 students. The data were picked up before of the implementation of a questionnaire and after having applied the educational intervention. Resultados:El diagnosis revealed that it is poor the level of knowledge in general sense as for the prevention of the pregnancy to the adolescence what justified the implementation of an educational intervention. Conclusions: The actions of the intervention provided bigger effect when being energized with the employment of the TIC's and the social nets, the appropriate modification of the level of knowledge is verified on the part of the cases of study with what been been worth the hypothesis of the investigation.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DeSC: Primary attention, I embarrass in the adolescence, educational intervention, area of health.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Introducción:</w:t>
      </w:r>
    </w:p>
    <w:p>
      <w:pPr>
        <w:spacing w:before="240" w:after="240" w:line="360"/>
        <w:ind w:right="0" w:left="0" w:firstLine="0"/>
        <w:jc w:val="both"/>
        <w:rPr>
          <w:rFonts w:ascii="Arial" w:hAnsi="Arial" w:cs="Arial" w:eastAsia="Arial"/>
          <w:color w:val="1C1C1C"/>
          <w:spacing w:val="0"/>
          <w:position w:val="0"/>
          <w:sz w:val="24"/>
          <w:shd w:fill="auto" w:val="clear"/>
          <w:vertAlign w:val="superscript"/>
        </w:rPr>
      </w:pPr>
      <w:r>
        <w:rPr>
          <w:rFonts w:ascii="Arial" w:hAnsi="Arial" w:cs="Arial" w:eastAsia="Arial"/>
          <w:color w:val="1C1C1C"/>
          <w:spacing w:val="0"/>
          <w:position w:val="0"/>
          <w:sz w:val="24"/>
          <w:shd w:fill="auto" w:val="clear"/>
        </w:rPr>
        <w:t xml:space="preserve">El embarazo adolescente se define como la gestación en mujeres cuyo rango de edad se considera adolescente, independiente de su edad ginecológica. El embarazo a cualquier edad constituye un hecho biopsicosocial muy importante, pero la adolescencia conlleva una serie de situaciones que pueden atentar, tanto contra la salud de la madre, como la del hijo. El embarazo en la adolescencia, ya sea temprana (10 a 14 años), media (15 a 16 años) o tardía (17 a 19 años), cobra particular relevancia al considerar las situaciones de abuso y coerción.</w:t>
      </w:r>
      <w:r>
        <w:rPr>
          <w:rFonts w:ascii="Arial" w:hAnsi="Arial" w:cs="Arial" w:eastAsia="Arial"/>
          <w:color w:val="1C1C1C"/>
          <w:spacing w:val="0"/>
          <w:position w:val="0"/>
          <w:sz w:val="24"/>
          <w:shd w:fill="auto" w:val="clear"/>
          <w:vertAlign w:val="superscript"/>
        </w:rPr>
        <w:t xml:space="preserve">1</w:t>
      </w:r>
    </w:p>
    <w:p>
      <w:pPr>
        <w:spacing w:before="240" w:after="160" w:line="360"/>
        <w:ind w:right="0" w:left="0" w:firstLine="0"/>
        <w:jc w:val="both"/>
        <w:rPr>
          <w:rFonts w:ascii="Arial" w:hAnsi="Arial" w:cs="Arial" w:eastAsia="Arial"/>
          <w:color w:val="1C1C1C"/>
          <w:spacing w:val="0"/>
          <w:position w:val="0"/>
          <w:sz w:val="24"/>
          <w:shd w:fill="auto" w:val="clear"/>
          <w:vertAlign w:val="superscript"/>
        </w:rPr>
      </w:pPr>
      <w:r>
        <w:rPr>
          <w:rFonts w:ascii="Arial" w:hAnsi="Arial" w:cs="Arial" w:eastAsia="Arial"/>
          <w:color w:val="1C1C1C"/>
          <w:spacing w:val="0"/>
          <w:position w:val="0"/>
          <w:sz w:val="24"/>
          <w:shd w:fill="auto" w:val="clear"/>
        </w:rPr>
        <w:t xml:space="preserve">El embarazo en adolescentes (entendida esta última entre las edades de 15 a 19 años) es un tema que causa una de las principales preocupaciones sociales y de salud desde hace varias décadas a nivel mundial y específicamente latinoamericano, siendo un hecho que tiene un impacto negativo en la salud física y psicológica de estas menores, reduciéndose además en la gran mayoría de los casos las oportunidades educativas y laborales, asociándose a su vez estas dos dimensiones con mayores índices de fecundidad según estimaciones y estudios de ENSMI en Guatemala.</w:t>
      </w:r>
      <w:r>
        <w:rPr>
          <w:rFonts w:ascii="Arial" w:hAnsi="Arial" w:cs="Arial" w:eastAsia="Arial"/>
          <w:color w:val="1C1C1C"/>
          <w:spacing w:val="0"/>
          <w:position w:val="0"/>
          <w:sz w:val="24"/>
          <w:shd w:fill="auto" w:val="clear"/>
          <w:vertAlign w:val="superscript"/>
        </w:rPr>
        <w:t xml:space="preserve">1-2</w:t>
      </w:r>
    </w:p>
    <w:p>
      <w:pPr>
        <w:spacing w:before="240" w:after="160" w:line="360"/>
        <w:ind w:right="0" w:left="0" w:firstLine="0"/>
        <w:jc w:val="both"/>
        <w:rPr>
          <w:rFonts w:ascii="Arial" w:hAnsi="Arial" w:cs="Arial" w:eastAsia="Arial"/>
          <w:color w:val="1C1C1C"/>
          <w:spacing w:val="0"/>
          <w:position w:val="0"/>
          <w:sz w:val="24"/>
          <w:shd w:fill="auto" w:val="clear"/>
          <w:vertAlign w:val="superscript"/>
        </w:rPr>
      </w:pPr>
      <w:r>
        <w:rPr>
          <w:rFonts w:ascii="Arial" w:hAnsi="Arial" w:cs="Arial" w:eastAsia="Arial"/>
          <w:color w:val="1C1C1C"/>
          <w:spacing w:val="0"/>
          <w:position w:val="0"/>
          <w:sz w:val="24"/>
          <w:shd w:fill="auto" w:val="clear"/>
        </w:rPr>
        <w:t xml:space="preserve">El problema se agrava aún más cuando esto afecta a niñas de entre 10 y 14 años, como muestran los datos del Observatorio de Salud Reproductiva (OSAR) del año 2019: 25 niñas de 10 años quedaron embarazadas y un total de 5 036 embarazos en niñas de edades comprendidas entre los 11 y 14 años.</w:t>
      </w:r>
      <w:r>
        <w:rPr>
          <w:rFonts w:ascii="Arial" w:hAnsi="Arial" w:cs="Arial" w:eastAsia="Arial"/>
          <w:color w:val="1C1C1C"/>
          <w:spacing w:val="0"/>
          <w:position w:val="0"/>
          <w:sz w:val="24"/>
          <w:shd w:fill="auto" w:val="clear"/>
          <w:vertAlign w:val="superscript"/>
        </w:rPr>
        <w:t xml:space="preserve">5-6</w:t>
      </w:r>
    </w:p>
    <w:p>
      <w:pPr>
        <w:spacing w:before="240" w:after="160" w:line="360"/>
        <w:ind w:right="0" w:left="0" w:firstLine="0"/>
        <w:jc w:val="both"/>
        <w:rPr>
          <w:rFonts w:ascii="Arial" w:hAnsi="Arial" w:cs="Arial" w:eastAsia="Arial"/>
          <w:color w:val="1C1C1C"/>
          <w:spacing w:val="0"/>
          <w:position w:val="0"/>
          <w:sz w:val="24"/>
          <w:shd w:fill="auto" w:val="clear"/>
        </w:rPr>
      </w:pPr>
      <w:r>
        <w:rPr>
          <w:rFonts w:ascii="Arial" w:hAnsi="Arial" w:cs="Arial" w:eastAsia="Arial"/>
          <w:color w:val="1C1C1C"/>
          <w:spacing w:val="0"/>
          <w:position w:val="0"/>
          <w:sz w:val="24"/>
          <w:shd w:fill="auto" w:val="clear"/>
        </w:rPr>
        <w:t xml:space="preserve">Cuba, con un contexto social diferente, educación y salud con acceso universal y gratis para todas las personas, muestra los niveles más bajos de fecundidad adolescente en América Latina, pero dada las políticas sociales de protección a niñas, adolescentes y mujeres, con servicios de salud sexual y reproductiva diferenciados para ellas, era de esperar que el descenso de la fecundidad adolescente en el país fuera notable. Sin embargo, no ha ocurrido así; su diferencial por región de residencia marca la heterogeneidad de este indicador.</w:t>
      </w:r>
      <w:r>
        <w:rPr>
          <w:rFonts w:ascii="Arial" w:hAnsi="Arial" w:cs="Arial" w:eastAsia="Arial"/>
          <w:color w:val="1C1C1C"/>
          <w:spacing w:val="0"/>
          <w:position w:val="0"/>
          <w:sz w:val="24"/>
          <w:shd w:fill="auto" w:val="clear"/>
          <w:vertAlign w:val="superscript"/>
        </w:rPr>
        <w:t xml:space="preserve">8</w:t>
      </w:r>
    </w:p>
    <w:p>
      <w:pPr>
        <w:spacing w:before="240" w:after="160" w:line="36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1C1C1C"/>
          <w:spacing w:val="0"/>
          <w:position w:val="0"/>
          <w:sz w:val="24"/>
          <w:shd w:fill="auto" w:val="clear"/>
        </w:rPr>
        <w:t xml:space="preserve">Los resultados más destacados en estadísticas sobre el embarazo en la adolescencia en Cuba</w:t>
      </w:r>
      <w:r>
        <w:rPr>
          <w:rFonts w:ascii="Arial" w:hAnsi="Arial" w:cs="Arial" w:eastAsia="Arial"/>
          <w:color w:val="auto"/>
          <w:spacing w:val="0"/>
          <w:position w:val="0"/>
          <w:sz w:val="24"/>
          <w:shd w:fill="auto" w:val="clear"/>
        </w:rPr>
        <w:t xml:space="preserve">, el 13 % de los nacimientos ocurren en las madres adolescentes, hallándose entre las naciones con un índice elevado de nacimientos en este grupo de edad; si se tiene en cuanta los logros de la medicina cubara reconocidos a nivel internacional. El 80 % de ellas tiene riesgo de tener hijos con peso menor de 2 500 g y 1,6 veces mayor que para las mayores de 18 años.</w:t>
      </w:r>
      <w:r>
        <w:rPr>
          <w:rFonts w:ascii="Arial" w:hAnsi="Arial" w:cs="Arial" w:eastAsia="Arial"/>
          <w:color w:val="auto"/>
          <w:spacing w:val="0"/>
          <w:position w:val="0"/>
          <w:sz w:val="24"/>
          <w:shd w:fill="auto" w:val="clear"/>
          <w:vertAlign w:val="superscript"/>
        </w:rPr>
        <w:t xml:space="preserve">1</w:t>
      </w:r>
    </w:p>
    <w:p>
      <w:pPr>
        <w:spacing w:before="240" w:after="240" w:line="360"/>
        <w:ind w:right="0" w:left="0" w:firstLine="0"/>
        <w:jc w:val="both"/>
        <w:rPr>
          <w:rFonts w:ascii="Arial" w:hAnsi="Arial" w:cs="Arial" w:eastAsia="Arial"/>
          <w:color w:val="1C1C1C"/>
          <w:spacing w:val="0"/>
          <w:position w:val="0"/>
          <w:sz w:val="24"/>
          <w:shd w:fill="auto" w:val="clear"/>
          <w:vertAlign w:val="superscript"/>
        </w:rPr>
      </w:pPr>
      <w:r>
        <w:rPr>
          <w:rFonts w:ascii="Arial" w:hAnsi="Arial" w:cs="Arial" w:eastAsia="Arial"/>
          <w:color w:val="1C1C1C"/>
          <w:spacing w:val="0"/>
          <w:position w:val="0"/>
          <w:sz w:val="24"/>
          <w:shd w:fill="auto" w:val="clear"/>
        </w:rPr>
        <w:t xml:space="preserve">En correspondencia con esto, las provincias con mayor tasa de fecundidad y embarazo adolescente han sido las orientales, donde se muestra un patrón resistente a la disminución de este fenómeno. En el último estudio de cohortes del Centro de Estudios Demográficos en 2020, Granma (72,98 %), Holguín (62,86 %) y Las Tunas (62,18 %), junto a Santiago de Cuba (60,28 %), son los territorios con mayor cantidad de nacimientos en mujeres adolescentes.</w:t>
      </w:r>
      <w:r>
        <w:rPr>
          <w:rFonts w:ascii="Arial" w:hAnsi="Arial" w:cs="Arial" w:eastAsia="Arial"/>
          <w:color w:val="1C1C1C"/>
          <w:spacing w:val="0"/>
          <w:position w:val="0"/>
          <w:sz w:val="24"/>
          <w:shd w:fill="auto" w:val="clear"/>
          <w:vertAlign w:val="superscript"/>
        </w:rPr>
        <w:t xml:space="preserve">8-10</w:t>
      </w:r>
    </w:p>
    <w:p>
      <w:pPr>
        <w:spacing w:before="0" w:after="24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partir del análisis de todo lo expresado anteriormente, en la opinión de la autora el embarazo en la adolescencia constituye un problema de salud que requiere de intervenciones oportunas que permitan modificar la realidad hoy percibida en dicho contexto. Dentro del área de salud se encuentran la mayor cantidad de casos de embarazo en la adolescencia, diagnosticados en estudiantes del Centro Mixto “Felipe Fuentes” donde coexisten estudiantes de secundaria básica y preuniversitario y los picos de incidencia están entre el noveno y el duodécimo grado.</w:t>
      </w:r>
    </w:p>
    <w:p>
      <w:pPr>
        <w:spacing w:before="0" w:after="24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Esto revela que las acciones de educación para la salud, el uso de métodos anticonceptivos y otros, no están aportando el efecto completamente deseado por las autoridades sanitarias y el Equipo Grupo Básico de Trabajo y Consultorio Médico de la Familia en cuestión. Es por ello que se declara la necesidad de generar mayor eficacia en el acercamiento positivo de los adolescentes a los conocimientos relacionados con la temática y con ello lograr prevenir con efectividad el embarazo en la adolescencia.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 ello, la autora tiene a bien declarar como </w:t>
      </w:r>
      <w:r>
        <w:rPr>
          <w:rFonts w:ascii="Arial" w:hAnsi="Arial" w:cs="Arial" w:eastAsia="Arial"/>
          <w:b/>
          <w:color w:val="auto"/>
          <w:spacing w:val="0"/>
          <w:position w:val="0"/>
          <w:sz w:val="24"/>
          <w:shd w:fill="auto" w:val="clear"/>
        </w:rPr>
        <w:t xml:space="preserve">problema científico: </w:t>
      </w:r>
      <w:r>
        <w:rPr>
          <w:rFonts w:ascii="Arial" w:hAnsi="Arial" w:cs="Arial" w:eastAsia="Arial"/>
          <w:color w:val="auto"/>
          <w:spacing w:val="0"/>
          <w:position w:val="0"/>
          <w:sz w:val="24"/>
          <w:shd w:fill="auto" w:val="clear"/>
        </w:rPr>
        <w:t xml:space="preserve">¿Cómo modificar el nivel de conocimiento de el embarazo en la adolescencia en estudiantes del Centro Mixto “Felipe Fuentes” para favorecer la prevención de esta problemática de salud entre octubre a diciembre de 2022?</w:t>
      </w:r>
    </w:p>
    <w:p>
      <w:pPr>
        <w:spacing w:before="0" w:after="160" w:line="360"/>
        <w:ind w:right="0" w:left="-284" w:firstLine="0"/>
        <w:jc w:val="both"/>
        <w:rPr>
          <w:rFonts w:ascii="Arial" w:hAnsi="Arial" w:cs="Arial" w:eastAsia="Arial"/>
          <w:color w:val="auto"/>
          <w:spacing w:val="0"/>
          <w:position w:val="0"/>
          <w:sz w:val="24"/>
          <w:shd w:fill="auto" w:val="clear"/>
        </w:rPr>
      </w:pPr>
    </w:p>
    <w:p>
      <w:pPr>
        <w:spacing w:before="0" w:after="160" w:line="360"/>
        <w:ind w:right="49"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Objetivo general. </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Implementar una intervención educativa que permita modificar el nivel de conocimiento sobre el embarazo en la adolescencia en estudiantes del Centro Mixto “Felipe Fuentes” entre octubre  a diciembre de 2022. </w:t>
      </w:r>
    </w:p>
    <w:p>
      <w:pPr>
        <w:spacing w:before="0" w:after="16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Objetivos específicos:</w:t>
      </w:r>
    </w:p>
    <w:p>
      <w:pPr>
        <w:numPr>
          <w:ilvl w:val="0"/>
          <w:numId w:val="15"/>
        </w:numPr>
        <w:spacing w:before="0" w:after="240" w:line="360"/>
        <w:ind w:right="0" w:left="426" w:hanging="36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Determinar el nivel de conocimientos de los adolescentes asociado a la prevención del embarazo en esta etapa de la vida. </w:t>
      </w:r>
    </w:p>
    <w:p>
      <w:pPr>
        <w:numPr>
          <w:ilvl w:val="0"/>
          <w:numId w:val="15"/>
        </w:numPr>
        <w:spacing w:before="0" w:after="240" w:line="360"/>
        <w:ind w:right="0" w:left="426"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Implementar las acciones de la intervención educativa para la modificación de conocimientos sobre el embarazo adolescente en la muestra de estudio.</w:t>
      </w:r>
    </w:p>
    <w:p>
      <w:pPr>
        <w:numPr>
          <w:ilvl w:val="0"/>
          <w:numId w:val="15"/>
        </w:numPr>
        <w:spacing w:before="0" w:after="240" w:line="360"/>
        <w:ind w:right="0" w:left="426" w:hanging="36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Evaluar los resultados obtenidos con la intervención educativa</w:t>
      </w:r>
      <w:r>
        <w:rPr>
          <w:rFonts w:ascii="Arial" w:hAnsi="Arial" w:cs="Arial" w:eastAsia="Arial"/>
          <w:b/>
          <w:color w:val="auto"/>
          <w:spacing w:val="0"/>
          <w:position w:val="0"/>
          <w:sz w:val="24"/>
          <w:shd w:fill="auto" w:val="clear"/>
        </w:rPr>
        <w:t xml:space="preserve">.</w:t>
      </w:r>
    </w:p>
    <w:p>
      <w:pPr>
        <w:spacing w:before="0" w:after="240" w:line="360"/>
        <w:ind w:right="0" w:left="720" w:firstLine="0"/>
        <w:jc w:val="both"/>
        <w:rPr>
          <w:rFonts w:ascii="Arial" w:hAnsi="Arial" w:cs="Arial" w:eastAsia="Arial"/>
          <w:b/>
          <w:color w:val="auto"/>
          <w:spacing w:val="0"/>
          <w:position w:val="0"/>
          <w:sz w:val="24"/>
          <w:shd w:fill="auto" w:val="clear"/>
        </w:rPr>
      </w:pPr>
    </w:p>
    <w:p>
      <w:pPr>
        <w:spacing w:before="0" w:after="240" w:line="360"/>
        <w:ind w:right="0" w:left="72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Método: </w:t>
      </w:r>
      <w:r>
        <w:rPr>
          <w:rFonts w:ascii="Arial" w:hAnsi="Arial" w:cs="Arial" w:eastAsia="Arial"/>
          <w:color w:val="000000"/>
          <w:spacing w:val="0"/>
          <w:position w:val="0"/>
          <w:sz w:val="24"/>
          <w:shd w:fill="auto" w:val="clear"/>
        </w:rPr>
        <w:t xml:space="preserve">Se </w:t>
      </w:r>
      <w:r>
        <w:rPr>
          <w:rFonts w:ascii="Arial" w:hAnsi="Arial" w:cs="Arial" w:eastAsia="Arial"/>
          <w:color w:val="auto"/>
          <w:spacing w:val="0"/>
          <w:position w:val="0"/>
          <w:sz w:val="24"/>
          <w:shd w:fill="auto" w:val="clear"/>
        </w:rPr>
        <w:t xml:space="preserve">realizó un estudio cuasi-experimental de intervención educativa para modificar el nivel de conocimiento sobre el embarazo en la adolescencia en estudiantes del Centro Mixto “Felipe Fuentes” para favorecer la prevención de esta problemática de salud entre octubre  a diciembre de 2022.</w:t>
      </w:r>
    </w:p>
    <w:p>
      <w:pPr>
        <w:spacing w:before="0" w:after="16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Universo y muestra:</w:t>
      </w:r>
      <w:r>
        <w:rPr>
          <w:rFonts w:ascii="Arial" w:hAnsi="Arial" w:cs="Arial" w:eastAsia="Arial"/>
          <w:color w:val="auto"/>
          <w:spacing w:val="0"/>
          <w:position w:val="0"/>
          <w:sz w:val="24"/>
          <w:shd w:fill="auto" w:val="clear"/>
        </w:rPr>
        <w:t xml:space="preserve">El universo de estudio quedó constituido por una población de estudiantes del Centro Mixto “Felipe Fuentes”, perteneciente al área de salud del policlínico Universitario “Julio Grave de Peralta” con un total de 280 estudiantes entre 15 a 19 años (9º a 12º). Se seleccionaron como muestra intencional no probabilística por el procedimiento de aleatoriedad simple un total de 200 estudiantes (71,42 %) distribuidos en cinco grupos de 40 casos cada uno. Esta muestra fue determinada para la inclusión de adolescentes de ambos sexos para una distribución final de 124 casos femeninos (62 %) y 76 casos masculinos (38 %).Los datos fueron obtenidos del registro de matrículas de la escuela y un cuestionario elaborado por la investigadora en el que se integran en dos momentos la caracterización de la muestra y la evaluación del nivel de conocimientos. Para ello se tuvieron en cuenta como criterios significantes los siguientes:</w:t>
      </w:r>
    </w:p>
    <w:p>
      <w:pPr>
        <w:spacing w:before="0" w:after="160" w:line="360"/>
        <w:ind w:right="0" w:left="0" w:firstLine="0"/>
        <w:jc w:val="both"/>
        <w:rPr>
          <w:rFonts w:ascii="Arial" w:hAnsi="Arial" w:cs="Arial" w:eastAsia="Arial"/>
          <w:b/>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Resultados:</w:t>
      </w:r>
    </w:p>
    <w:p>
      <w:pPr>
        <w:spacing w:before="0" w:after="160" w:line="36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Tabla 1.</w:t>
      </w:r>
      <w:r>
        <w:rPr>
          <w:rFonts w:ascii="Arial" w:hAnsi="Arial" w:cs="Arial" w:eastAsia="Arial"/>
          <w:color w:val="auto"/>
          <w:spacing w:val="0"/>
          <w:position w:val="0"/>
          <w:sz w:val="24"/>
          <w:shd w:fill="auto" w:val="clear"/>
        </w:rPr>
        <w:t xml:space="preserve">Conocimientos sobre los factores de riesgo del embarazo en adolescentes.</w:t>
      </w:r>
    </w:p>
    <w:tbl>
      <w:tblPr/>
      <w:tblGrid>
        <w:gridCol w:w="2160"/>
        <w:gridCol w:w="1550"/>
        <w:gridCol w:w="767"/>
        <w:gridCol w:w="1377"/>
        <w:gridCol w:w="1217"/>
      </w:tblGrid>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Antes</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Después</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Conocimientos</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Inadecuado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132</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66</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6</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3</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68</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34</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194</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97</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Total</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r>
    </w:tbl>
    <w:p>
      <w:pPr>
        <w:tabs>
          <w:tab w:val="center" w:pos="4561" w:leader="none"/>
        </w:tabs>
        <w:spacing w:before="0" w:after="240" w:line="36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Fuente</w:t>
      </w:r>
      <w:r>
        <w:rPr>
          <w:rFonts w:ascii="Arial" w:hAnsi="Arial" w:cs="Arial" w:eastAsia="Arial"/>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Cuestionario</w:t>
      </w:r>
      <w:r>
        <w:rPr>
          <w:rFonts w:ascii="Arial" w:hAnsi="Arial" w:cs="Arial" w:eastAsia="Arial"/>
          <w:b/>
          <w:color w:val="000000"/>
          <w:spacing w:val="0"/>
          <w:position w:val="0"/>
          <w:sz w:val="24"/>
          <w:shd w:fill="auto" w:val="clear"/>
        </w:rPr>
        <w:t xml:space="preserve">   Mc NemarX</w:t>
      </w:r>
      <w:r>
        <w:rPr>
          <w:rFonts w:ascii="Arial" w:hAnsi="Arial" w:cs="Arial" w:eastAsia="Arial"/>
          <w:b/>
          <w:color w:val="000000"/>
          <w:spacing w:val="0"/>
          <w:position w:val="0"/>
          <w:sz w:val="24"/>
          <w:shd w:fill="auto" w:val="clear"/>
          <w:vertAlign w:val="superscript"/>
        </w:rPr>
        <w:t xml:space="preserve">2</w:t>
      </w:r>
      <w:r>
        <w:rPr>
          <w:rFonts w:ascii="Arial" w:hAnsi="Arial" w:cs="Arial" w:eastAsia="Arial"/>
          <w:b/>
          <w:color w:val="000000"/>
          <w:spacing w:val="0"/>
          <w:position w:val="0"/>
          <w:sz w:val="24"/>
          <w:shd w:fill="auto" w:val="clear"/>
        </w:rPr>
        <w:t xml:space="preserve">c=4,01    p&lt;0,00</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Tabla 1, evidenció que antes de la intervención solo un 34 % de los estudiantes participantes en la intervención tenían conocimientos adecuados sobre los factores de riesgo del embarazo en la adolescencia. Posterior a la implementación de las acciones educativas con énfasis en la visualización y debate de los videos de YouTube, más las charlas educativas en la escuela, se logró modificar el nivel de conocimientos para en la pos-prueba tener un 97% de estudiantes con nivel de conocimientos adecuados.</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estudio de Castañeda y Santa-Cruz,</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se plantea en el embarazo en la adolescentes es una problemática de gran magnitud que requiere estrategias de prevención efectivas, es por ello que el reconocer los factores de riesgo asociados es un requisito fundamental para un planteamiento eficaz de estrategias de intervención que permitan la modificación de conocimientos en este sentido. De ahí, que los resultados de la investigación citada coinciden en que entre el 60 al 70 % de los adolescentes tienen conocimientos inadecuados sobre los factores de riesgo que generan propensión al problema de salud en cuestión.</w:t>
      </w:r>
    </w:p>
    <w:p>
      <w:pPr>
        <w:spacing w:before="0" w:after="16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 los autores, es evidente que la arista de los factores de riesgo en el embarazo en la adolescencia es de las más trabajadas y constituyen el talón de Aquiles de la problemática en el entorno social, médico y cultural. Independientemente a ello queda ratificado que es posible modificar el nivel de conocimientos al respecto con una adecuada intervención educativa.</w:t>
      </w:r>
    </w:p>
    <w:p>
      <w:pPr>
        <w:spacing w:before="0" w:after="16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Tabla 2. </w:t>
      </w:r>
      <w:r>
        <w:rPr>
          <w:rFonts w:ascii="Arial" w:hAnsi="Arial" w:cs="Arial" w:eastAsia="Arial"/>
          <w:color w:val="auto"/>
          <w:spacing w:val="0"/>
          <w:position w:val="0"/>
          <w:sz w:val="24"/>
          <w:shd w:fill="auto" w:val="clear"/>
        </w:rPr>
        <w:t xml:space="preserve">Conocimientos sobre consecuencias del embarazo en adolescentes </w:t>
      </w:r>
    </w:p>
    <w:tbl>
      <w:tblPr/>
      <w:tblGrid>
        <w:gridCol w:w="2160"/>
        <w:gridCol w:w="1550"/>
        <w:gridCol w:w="767"/>
        <w:gridCol w:w="1377"/>
        <w:gridCol w:w="1217"/>
      </w:tblGrid>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Antes</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Después</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Conocimientos</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Inadecuado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80</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40</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3</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1,5</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120</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60</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197</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98,5</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Total</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r>
    </w:tbl>
    <w:p>
      <w:pPr>
        <w:tabs>
          <w:tab w:val="center" w:pos="4561" w:leader="none"/>
        </w:tabs>
        <w:spacing w:before="0" w:after="240" w:line="36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Fuente</w:t>
      </w:r>
      <w:r>
        <w:rPr>
          <w:rFonts w:ascii="Arial" w:hAnsi="Arial" w:cs="Arial" w:eastAsia="Arial"/>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Cuestionario</w:t>
      </w:r>
      <w:r>
        <w:rPr>
          <w:rFonts w:ascii="Arial" w:hAnsi="Arial" w:cs="Arial" w:eastAsia="Arial"/>
          <w:b/>
          <w:color w:val="000000"/>
          <w:spacing w:val="0"/>
          <w:position w:val="0"/>
          <w:sz w:val="24"/>
          <w:shd w:fill="auto" w:val="clear"/>
        </w:rPr>
        <w:t xml:space="preserve">   Mc NemarX</w:t>
      </w:r>
      <w:r>
        <w:rPr>
          <w:rFonts w:ascii="Arial" w:hAnsi="Arial" w:cs="Arial" w:eastAsia="Arial"/>
          <w:b/>
          <w:color w:val="000000"/>
          <w:spacing w:val="0"/>
          <w:position w:val="0"/>
          <w:sz w:val="24"/>
          <w:shd w:fill="auto" w:val="clear"/>
          <w:vertAlign w:val="superscript"/>
        </w:rPr>
        <w:t xml:space="preserve">2</w:t>
      </w:r>
      <w:r>
        <w:rPr>
          <w:rFonts w:ascii="Arial" w:hAnsi="Arial" w:cs="Arial" w:eastAsia="Arial"/>
          <w:b/>
          <w:color w:val="000000"/>
          <w:spacing w:val="0"/>
          <w:position w:val="0"/>
          <w:sz w:val="24"/>
          <w:shd w:fill="auto" w:val="clear"/>
        </w:rPr>
        <w:t xml:space="preserve">c= 17,00   p&lt;0,05</w:t>
      </w:r>
    </w:p>
    <w:p>
      <w:pPr>
        <w:spacing w:before="0" w:after="24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 Tabla 2, evidenció que el nivel de conocimientos sobre las consecuencias del embarazo en los adolescentes en estudio antes de la intervención era promedio alto, con un 60 % de casos que se calificaron como adecuados. Las acciones educativas, las actividades grupales y los retos a través de los grupos de Facebook, dinamizaron la mejora de este porcentaje posterior a la aplicación de la intervención educativa y se llegó a un 98,5 % de conocimientos adecuados en la serie de casos.</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relación a las consecuencias del embarazo en los adolescentes para algunos autorescomo Cercado, en la provincia Guayas en Ecuador,</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expone que en un estudio realizado a un grupo de86 adolescentes en encuestas realizadas encontraron que el 95% de estos desconocían las consecuencias del embarazo en esta etapa de la vida.</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coincidencia con la OMS los autores consideran que estos aspectos según el organismo es casi plenamente desconocido por la población en adolescencia por lo que es responsabilidad de los sistemas sanitarios educar y prevenir la gestación en esta etapa de la vida; elemento que refuerza la funcionalidad de la intervención educativa en cuestión.</w:t>
      </w:r>
    </w:p>
    <w:p>
      <w:pPr>
        <w:spacing w:before="0" w:after="240" w:line="360"/>
        <w:ind w:right="49" w:left="0" w:firstLine="0"/>
        <w:jc w:val="both"/>
        <w:rPr>
          <w:rFonts w:ascii="Arial" w:hAnsi="Arial" w:cs="Arial" w:eastAsia="Arial"/>
          <w:b/>
          <w:color w:val="auto"/>
          <w:spacing w:val="0"/>
          <w:position w:val="0"/>
          <w:sz w:val="24"/>
          <w:shd w:fill="auto" w:val="clear"/>
        </w:rPr>
      </w:pPr>
    </w:p>
    <w:p>
      <w:pPr>
        <w:spacing w:before="0" w:after="240" w:line="360"/>
        <w:ind w:right="49" w:left="0" w:firstLine="0"/>
        <w:jc w:val="both"/>
        <w:rPr>
          <w:rFonts w:ascii="Arial" w:hAnsi="Arial" w:cs="Arial" w:eastAsia="Arial"/>
          <w:b/>
          <w:color w:val="auto"/>
          <w:spacing w:val="0"/>
          <w:position w:val="0"/>
          <w:sz w:val="24"/>
          <w:shd w:fill="auto" w:val="clear"/>
        </w:rPr>
      </w:pPr>
    </w:p>
    <w:p>
      <w:pPr>
        <w:spacing w:before="0" w:after="240" w:line="360"/>
        <w:ind w:right="49" w:left="0" w:firstLine="0"/>
        <w:jc w:val="both"/>
        <w:rPr>
          <w:rFonts w:ascii="Arial" w:hAnsi="Arial" w:cs="Arial" w:eastAsia="Arial"/>
          <w:b/>
          <w:color w:val="auto"/>
          <w:spacing w:val="0"/>
          <w:position w:val="0"/>
          <w:sz w:val="24"/>
          <w:shd w:fill="auto" w:val="clear"/>
        </w:rPr>
      </w:pP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Tabla 3. </w:t>
      </w:r>
      <w:r>
        <w:rPr>
          <w:rFonts w:ascii="Arial" w:hAnsi="Arial" w:cs="Arial" w:eastAsia="Arial"/>
          <w:color w:val="auto"/>
          <w:spacing w:val="0"/>
          <w:position w:val="0"/>
          <w:sz w:val="24"/>
          <w:shd w:fill="auto" w:val="clear"/>
        </w:rPr>
        <w:t xml:space="preserve">Conocimientos sobre formas de prevención del embarazo en adolescentes.</w:t>
      </w:r>
    </w:p>
    <w:tbl>
      <w:tblPr/>
      <w:tblGrid>
        <w:gridCol w:w="2160"/>
        <w:gridCol w:w="1550"/>
        <w:gridCol w:w="767"/>
        <w:gridCol w:w="1377"/>
        <w:gridCol w:w="1217"/>
      </w:tblGrid>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Antes</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Después</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rFonts w:ascii="Calibri" w:hAnsi="Calibri" w:cs="Calibri" w:eastAsia="Calibri"/>
                <w:color w:val="auto"/>
                <w:spacing w:val="0"/>
                <w:position w:val="0"/>
                <w:sz w:val="22"/>
                <w:shd w:fill="auto" w:val="clear"/>
              </w:rPr>
            </w:pP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Conocimientos</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No</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Inadecuado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177</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88,5</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3</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1,5</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Adecuado</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23</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11,5</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197</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98,5</w:t>
            </w:r>
          </w:p>
        </w:tc>
      </w:tr>
      <w:tr>
        <w:trPr>
          <w:trHeight w:val="1" w:hRule="atLeast"/>
          <w:jc w:val="center"/>
        </w:trPr>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Total</w:t>
            </w:r>
          </w:p>
        </w:tc>
        <w:tc>
          <w:tcPr>
            <w:tcW w:w="15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7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c>
          <w:tcPr>
            <w:tcW w:w="13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200</w:t>
            </w:r>
          </w:p>
        </w:tc>
        <w:tc>
          <w:tcPr>
            <w:tcW w:w="12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360"/>
              <w:ind w:right="0" w:left="0" w:firstLine="0"/>
              <w:jc w:val="both"/>
              <w:rPr>
                <w:spacing w:val="0"/>
                <w:position w:val="0"/>
                <w:shd w:fill="auto" w:val="clear"/>
              </w:rPr>
            </w:pPr>
            <w:r>
              <w:rPr>
                <w:rFonts w:ascii="Arial" w:hAnsi="Arial" w:cs="Arial" w:eastAsia="Arial"/>
                <w:b/>
                <w:color w:val="000000"/>
                <w:spacing w:val="0"/>
                <w:position w:val="0"/>
                <w:sz w:val="24"/>
                <w:shd w:fill="auto" w:val="clear"/>
              </w:rPr>
              <w:t xml:space="preserve">100</w:t>
            </w:r>
          </w:p>
        </w:tc>
      </w:tr>
    </w:tbl>
    <w:p>
      <w:pPr>
        <w:tabs>
          <w:tab w:val="center" w:pos="4561" w:leader="none"/>
        </w:tabs>
        <w:spacing w:before="0" w:after="240" w:line="36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Fuente</w:t>
      </w:r>
      <w:r>
        <w:rPr>
          <w:rFonts w:ascii="Arial" w:hAnsi="Arial" w:cs="Arial" w:eastAsia="Arial"/>
          <w:color w:val="000000"/>
          <w:spacing w:val="0"/>
          <w:position w:val="0"/>
          <w:sz w:val="24"/>
          <w:shd w:fill="auto" w:val="clear"/>
        </w:rPr>
        <w:t xml:space="preserve">: </w:t>
      </w:r>
      <w:r>
        <w:rPr>
          <w:rFonts w:ascii="Arial" w:hAnsi="Arial" w:cs="Arial" w:eastAsia="Arial"/>
          <w:b/>
          <w:color w:val="auto"/>
          <w:spacing w:val="0"/>
          <w:position w:val="0"/>
          <w:sz w:val="24"/>
          <w:shd w:fill="auto" w:val="clear"/>
        </w:rPr>
        <w:t xml:space="preserve">Cuestionario</w:t>
      </w:r>
      <w:r>
        <w:rPr>
          <w:rFonts w:ascii="Arial" w:hAnsi="Arial" w:cs="Arial" w:eastAsia="Arial"/>
          <w:b/>
          <w:color w:val="000000"/>
          <w:spacing w:val="0"/>
          <w:position w:val="0"/>
          <w:sz w:val="24"/>
          <w:shd w:fill="auto" w:val="clear"/>
        </w:rPr>
        <w:t xml:space="preserve">   Mc NemarX</w:t>
      </w:r>
      <w:r>
        <w:rPr>
          <w:rFonts w:ascii="Arial" w:hAnsi="Arial" w:cs="Arial" w:eastAsia="Arial"/>
          <w:b/>
          <w:color w:val="000000"/>
          <w:spacing w:val="0"/>
          <w:position w:val="0"/>
          <w:sz w:val="24"/>
          <w:shd w:fill="auto" w:val="clear"/>
          <w:vertAlign w:val="superscript"/>
        </w:rPr>
        <w:t xml:space="preserve">2</w:t>
      </w:r>
      <w:r>
        <w:rPr>
          <w:rFonts w:ascii="Arial" w:hAnsi="Arial" w:cs="Arial" w:eastAsia="Arial"/>
          <w:b/>
          <w:color w:val="000000"/>
          <w:spacing w:val="0"/>
          <w:position w:val="0"/>
          <w:sz w:val="24"/>
          <w:shd w:fill="auto" w:val="clear"/>
          <w:vertAlign w:val="subscript"/>
        </w:rPr>
        <w:t xml:space="preserve">C</w:t>
      </w:r>
      <w:r>
        <w:rPr>
          <w:rFonts w:ascii="Arial" w:hAnsi="Arial" w:cs="Arial" w:eastAsia="Arial"/>
          <w:b/>
          <w:color w:val="000000"/>
          <w:spacing w:val="0"/>
          <w:position w:val="0"/>
          <w:sz w:val="24"/>
          <w:shd w:fill="auto" w:val="clear"/>
        </w:rPr>
        <w:t xml:space="preserve">=18,28   p=0.05</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Tabla 3, evidenció que la variable de conocimientos sobre formas de prevención del embarazo en adolescentes fue el más afectado. Previo a la implementación de las acciones propias de la intervención educativa, solo un 11,5 % de los estudiantes que realizaron el cuestionario tenían conocimientos adecuados al respecto. Posterior a la intervención se logra alcanzar conocimientos adecuados de las formas de prevención del embarazo en la adolescencia en el 98,5 % de la serie de casos.</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Venegas y Valles,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en estudio publicado en la Revista Pediátrica de Atención Primaria, realizado con adolescentes escolarizadas, trabajó de forma similar con estos grupos etarios, refiriendo la importancia del trabajo de la Atención Primaria de Salud en la prevención del embarazo en la adolescencia.</w:t>
      </w:r>
    </w:p>
    <w:p>
      <w:pPr>
        <w:spacing w:before="0" w:after="240" w:line="360"/>
        <w:ind w:right="49"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Los autores confieren gran importancia al estudio realizado ya que refuerza las acciones concebidas dentro del Programa de Atención Materno Infantil acerca de la prevención del embarazo en la adolescencia.</w:t>
      </w:r>
    </w:p>
    <w:p>
      <w:pPr>
        <w:spacing w:before="0" w:after="160" w:line="360"/>
        <w:ind w:right="49"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Conclusiones</w:t>
      </w:r>
    </w:p>
    <w:p>
      <w:pPr>
        <w:spacing w:before="0" w:after="160" w:line="360"/>
        <w:ind w:right="49"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El diagnóstico reveló que es pobre el nivel de conocimientos en sentido general en cuanto a la prevención del embarazo a la adolescencia lo que justificó la implementación de una intervención educativa. Las acciones de la intervención surtieron efecto mayor al ser dinamizadas con el empleo de las TIC’s y las redes sociales, se constata la modificación adecuada del nivel de conocimientos por parte de los casos de estudio .</w:t>
      </w:r>
    </w:p>
    <w:p>
      <w:pPr>
        <w:spacing w:before="0" w:after="16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Referencias bibliográficas</w:t>
      </w:r>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Marrero D, Loor A, Briones S, López L. Caracterización del embarazo en adolescentes menores de 15 años asistidas en el área deatención primaria El Milagro, Riochico. Revista de Ciencias de la Salud. [revista en Internet] Mayo-Agosto 2021 [citado en enero de 2022];5(2):8-16. Disponible en: </w:t>
      </w:r>
      <w:hyperlink xmlns:r="http://schemas.openxmlformats.org/officeDocument/2006/relationships" r:id="docRId4">
        <w:r>
          <w:rPr>
            <w:rFonts w:ascii="Arial" w:hAnsi="Arial" w:cs="Arial" w:eastAsia="Arial"/>
            <w:color w:val="0563C1"/>
            <w:spacing w:val="0"/>
            <w:position w:val="0"/>
            <w:sz w:val="24"/>
            <w:u w:val="single"/>
            <w:shd w:fill="auto" w:val="clear"/>
          </w:rPr>
          <w:t xml:space="preserve">https://revistas.utm.edu.ec/index.php/QhaliKay</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UnitedNations. WorldPopulationProspects: The 2012 Revision. [documento en línea] 2013 [citado en enero de 2021] Department of Economic and Social Affairs, PopulationDivision. [citado en mayo de 2021]; Disponible en: </w:t>
      </w:r>
      <w:hyperlink xmlns:r="http://schemas.openxmlformats.org/officeDocument/2006/relationships" r:id="docRId5">
        <w:r>
          <w:rPr>
            <w:rFonts w:ascii="Arial" w:hAnsi="Arial" w:cs="Arial" w:eastAsia="Arial"/>
            <w:color w:val="0563C1"/>
            <w:spacing w:val="0"/>
            <w:position w:val="0"/>
            <w:sz w:val="24"/>
            <w:u w:val="single"/>
            <w:shd w:fill="auto" w:val="clear"/>
          </w:rPr>
          <w:t xml:space="preserve">https://www.un.org/en/development/desa/publications/world-population-prospects-the-2012-revision.html#:~:text=The%20report%2C%20World%20Population%20Prospects,to%201.8%20billion%20in%202050</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CEPAL. Primer informe regional sobre la implementación del Consenso deMontevideo sobre Población y Desarrollo. [documento en línea] 2019 [citado en mayo en 2021]; LC/CRPD.3/6. Disponible en: </w:t>
      </w:r>
      <w:hyperlink xmlns:r="http://schemas.openxmlformats.org/officeDocument/2006/relationships" r:id="docRId6">
        <w:r>
          <w:rPr>
            <w:rFonts w:ascii="Arial" w:hAnsi="Arial" w:cs="Arial" w:eastAsia="Arial"/>
            <w:color w:val="0563C1"/>
            <w:spacing w:val="0"/>
            <w:position w:val="0"/>
            <w:sz w:val="24"/>
            <w:u w:val="single"/>
            <w:shd w:fill="auto" w:val="clear"/>
          </w:rPr>
          <w:t xml:space="preserve">https://www.cepal.org/es/publicaciones/44457-primer-informe-regional-la-implementacion-consenso-montevideo-poblacion</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Rodríguez Vignoli J, San Juan Bernuy V. Maternidad, fecundidad yparidez en la adolescencia y la juventud: continuidad y cambio en AméricaLatina. [documento en línea] 2020 [citado en mayo de 2021]; 131 Serie Población y Desarrollo (LC/TS.2020/89): CEPAL. Disponible en: </w:t>
      </w:r>
      <w:hyperlink xmlns:r="http://schemas.openxmlformats.org/officeDocument/2006/relationships" r:id="docRId7">
        <w:r>
          <w:rPr>
            <w:rFonts w:ascii="Arial" w:hAnsi="Arial" w:cs="Arial" w:eastAsia="Arial"/>
            <w:color w:val="0563C1"/>
            <w:spacing w:val="0"/>
            <w:position w:val="0"/>
            <w:sz w:val="24"/>
            <w:u w:val="single"/>
            <w:shd w:fill="auto" w:val="clear"/>
          </w:rPr>
          <w:t xml:space="preserve">https://www.cepal.org/es/publicaciones/45838-maternidad-fecundidad-paridez-la-adolescencia-la-juventud-continuidad-cambio</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ENSMI. Informe de seguimiento a la VII Encuesta de Salud Materno Infantil 2022-2023. [documento en línea] 2023 [citado en marzo de 2023]; Disponible en: </w:t>
      </w:r>
      <w:hyperlink xmlns:r="http://schemas.openxmlformats.org/officeDocument/2006/relationships" r:id="docRId8">
        <w:r>
          <w:rPr>
            <w:rFonts w:ascii="Arial" w:hAnsi="Arial" w:cs="Arial" w:eastAsia="Arial"/>
            <w:color w:val="0563C1"/>
            <w:spacing w:val="0"/>
            <w:position w:val="0"/>
            <w:sz w:val="24"/>
            <w:u w:val="single"/>
            <w:shd w:fill="auto" w:val="clear"/>
          </w:rPr>
          <w:t xml:space="preserve">https://www.pdh.org.gt/documentos/seccion-de-informes/supervision-y-monitoreo/densoria-de-seguridad-alimentaria-y-nutricional/ano-2022-13/informe-a-e-seguimiento-a-la-vii-encuesta-de-salud-materno-infantil-2022-2023-ensmi-a-cargo-delmspas-ine-y-la-secretaria-de-planificacion-y-programacion-de-la-presidencia-marzo-2022.html</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Lazo Navarro M. Propuesta de Intervención para laPrevención de Embarazos en niñas yadolescentes de Guatemala. [tesis en línea] 2020 [citado en mayo de 2022]; Disponible en: </w:t>
      </w:r>
      <w:hyperlink xmlns:r="http://schemas.openxmlformats.org/officeDocument/2006/relationships" r:id="docRId9">
        <w:r>
          <w:rPr>
            <w:rFonts w:ascii="Arial" w:hAnsi="Arial" w:cs="Arial" w:eastAsia="Arial"/>
            <w:color w:val="0563C1"/>
            <w:spacing w:val="0"/>
            <w:position w:val="0"/>
            <w:sz w:val="24"/>
            <w:u w:val="single"/>
            <w:shd w:fill="auto" w:val="clear"/>
          </w:rPr>
          <w:t xml:space="preserve">http://repositorio.ual.es/bitstream/handle/10835/9910/LAZO%20NAVARRO%2C%20MARIA.pdf?sequence=1&amp;isAllowed=y</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Molina Cintra MC. Tendencias de la fecundidad adolescente en Cuba hasta el2020. Novedades en Población, [revista en Internet] 2020  [citado en agosto de 2022];17 (34). Disponible en: </w:t>
      </w:r>
      <w:hyperlink xmlns:r="http://schemas.openxmlformats.org/officeDocument/2006/relationships" r:id="docRId10">
        <w:r>
          <w:rPr>
            <w:rFonts w:ascii="Arial" w:hAnsi="Arial" w:cs="Arial" w:eastAsia="Arial"/>
            <w:color w:val="0563C1"/>
            <w:spacing w:val="0"/>
            <w:position w:val="0"/>
            <w:sz w:val="24"/>
            <w:u w:val="single"/>
            <w:shd w:fill="auto" w:val="clear"/>
          </w:rPr>
          <w:t xml:space="preserve">http://www.novpob.uh.cu</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Camacho V. La continuidad de los servicios de salud para adolescentes con énfasis en salud sexual y reproductiva en la época de pandemia por laCOVID-19. UNFPA- LACRO. [documento en línea] 2020 [citado en mayo de 2021]; Disponible en: </w:t>
      </w:r>
      <w:hyperlink xmlns:r="http://schemas.openxmlformats.org/officeDocument/2006/relationships" r:id="docRId11">
        <w:r>
          <w:rPr>
            <w:rFonts w:ascii="Arial" w:hAnsi="Arial" w:cs="Arial" w:eastAsia="Arial"/>
            <w:color w:val="0563C1"/>
            <w:spacing w:val="0"/>
            <w:position w:val="0"/>
            <w:sz w:val="24"/>
            <w:u w:val="single"/>
            <w:shd w:fill="auto" w:val="clear"/>
          </w:rPr>
          <w:t xml:space="preserve">https://cuba.unfpa.org/es/news/continuidad-y-calidad-de-los-servicios-de-salud-sexual-y-reproductiva-una-prioridad-del-unfpa</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Ministerio de Salud Pública de la República de Cuba. Anuario Estadístico de Salud 2021.  [documento en línea] 2022 [citado en mayo de 2022]; La Habana: Dirección Nacional de Registros Médicos y Estadísticas de Salud. Disponible en:  </w:t>
      </w:r>
      <w:hyperlink xmlns:r="http://schemas.openxmlformats.org/officeDocument/2006/relationships" r:id="docRId12">
        <w:r>
          <w:rPr>
            <w:rFonts w:ascii="Arial" w:hAnsi="Arial" w:cs="Arial" w:eastAsia="Arial"/>
            <w:color w:val="0563C1"/>
            <w:spacing w:val="0"/>
            <w:position w:val="0"/>
            <w:sz w:val="24"/>
            <w:u w:val="single"/>
            <w:shd w:fill="auto" w:val="clear"/>
          </w:rPr>
          <w:t xml:space="preserve">http://bvscuba.sld.cu/anuario-estadistico-decuba</w:t>
        </w:r>
      </w:hyperlink>
    </w:p>
    <w:p>
      <w:pPr>
        <w:numPr>
          <w:ilvl w:val="0"/>
          <w:numId w:val="71"/>
        </w:num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Ministerio de Salud Pública de la República de Cuba. Departamento de Estadística del Policlínico Universitario “Julio Grave de Peralta”. Holguín; 2020.</w:t>
      </w:r>
    </w:p>
    <w:p>
      <w:pPr>
        <w:tabs>
          <w:tab w:val="left" w:pos="360" w:leader="none"/>
        </w:tabs>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w:t>
      </w:r>
      <w:r>
        <w:rPr>
          <w:rFonts w:ascii="Arial" w:hAnsi="Arial" w:cs="Arial" w:eastAsia="Arial"/>
          <w:color w:val="auto"/>
          <w:spacing w:val="0"/>
          <w:position w:val="0"/>
          <w:sz w:val="24"/>
          <w:shd w:fill="auto" w:val="clear"/>
        </w:rPr>
        <w:t xml:space="preserve">Instituto Nacional de las Mujeres. Estrategia Nacional para laPrevención del Embarazo en Adolescentes (ENAPEA). Informe2016. [documento en línea] 2017 [citado en mayo de 2022]; Disponible en: </w:t>
      </w:r>
      <w:hyperlink xmlns:r="http://schemas.openxmlformats.org/officeDocument/2006/relationships" r:id="docRId13">
        <w:r>
          <w:rPr>
            <w:rFonts w:ascii="Arial" w:hAnsi="Arial" w:cs="Arial" w:eastAsia="Arial"/>
            <w:color w:val="0563C1"/>
            <w:spacing w:val="0"/>
            <w:position w:val="0"/>
            <w:sz w:val="24"/>
            <w:u w:val="single"/>
            <w:shd w:fill="auto" w:val="clear"/>
          </w:rPr>
          <w:t xml:space="preserve">https://www.siteal.iiep.unesco.org</w:t>
        </w:r>
      </w:hyperlink>
    </w:p>
    <w:p>
      <w:pPr>
        <w:spacing w:before="0" w:after="240" w:line="36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Guerra Figueredo M,Pérez HernándezM, Álvarez Remedio A, Cruz</w:t>
        <w:br/>
        <w:t xml:space="preserve">Betancourt A.</w:t>
      </w:r>
      <w:r>
        <w:rPr>
          <w:rFonts w:ascii="Arial" w:hAnsi="Arial" w:cs="Arial" w:eastAsia="Arial"/>
          <w:color w:val="auto"/>
          <w:spacing w:val="0"/>
          <w:position w:val="0"/>
          <w:sz w:val="24"/>
          <w:shd w:fill="auto" w:val="clear"/>
        </w:rPr>
        <w:t xml:space="preserve">Intervención educativa para prevenir el embarazo en adolescentes del CMF 2Cacocum. Enero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Junio.2016. SOCECS [documento en l</w:t>
      </w:r>
      <w:r>
        <w:rPr>
          <w:rFonts w:ascii="Arial" w:hAnsi="Arial" w:cs="Arial" w:eastAsia="Arial"/>
          <w:color w:val="auto"/>
          <w:spacing w:val="0"/>
          <w:position w:val="0"/>
          <w:sz w:val="24"/>
          <w:shd w:fill="auto" w:val="clear"/>
        </w:rPr>
        <w:t xml:space="preserve">ínea] 2017 [citado en mayo de 2022]; Disponible en: </w:t>
      </w:r>
      <w:hyperlink xmlns:r="http://schemas.openxmlformats.org/officeDocument/2006/relationships" r:id="docRId14">
        <w:r>
          <w:rPr>
            <w:rFonts w:ascii="Arial" w:hAnsi="Arial" w:cs="Arial" w:eastAsia="Arial"/>
            <w:color w:val="0563C1"/>
            <w:spacing w:val="0"/>
            <w:position w:val="0"/>
            <w:sz w:val="24"/>
            <w:u w:val="single"/>
            <w:shd w:fill="auto" w:val="clear"/>
          </w:rPr>
          <w:t xml:space="preserve">http://socecsholguin2016.sld.cu/index.php/socecsholguin/2016/paper/download/225/184</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5">
    <w:abstractNumId w:val="6"/>
  </w:num>
  <w:num w:numId="7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epal.org/es/publicaciones/45838-maternidad-fecundidad-paridez-la-adolescencia-la-juventud-continuidad-cambio" Id="docRId7" Type="http://schemas.openxmlformats.org/officeDocument/2006/relationships/hyperlink" /><Relationship TargetMode="External" Target="http://www.novpob.uh.cu/" Id="docRId10" Type="http://schemas.openxmlformats.org/officeDocument/2006/relationships/hyperlink" /><Relationship TargetMode="External" Target="http://socecsholguin2016.sld.cu/index.php/socecsholguin/2016/paper/download/225/184" Id="docRId14" Type="http://schemas.openxmlformats.org/officeDocument/2006/relationships/hyperlink" /><Relationship TargetMode="External" Target="http://orcid.org/0000-0003-4151-7527" Id="docRId2" Type="http://schemas.openxmlformats.org/officeDocument/2006/relationships/hyperlink" /><Relationship TargetMode="External" Target="https://www.cepal.org/es/publicaciones/44457-primer-informe-regional-la-implementacion-consenso-montevideo-poblacion" Id="docRId6" Type="http://schemas.openxmlformats.org/officeDocument/2006/relationships/hyperlink" /><Relationship TargetMode="External" Target="http://orcid.org/0000-0002-6288-583" Id="docRId1" Type="http://schemas.openxmlformats.org/officeDocument/2006/relationships/hyperlink" /><Relationship TargetMode="External" Target="https://cuba.unfpa.org/es/news/continuidad-y-calidad-de-los-servicios-de-salud-sexual-y-reproductiva-una-prioridad-del-unfpa" Id="docRId11" Type="http://schemas.openxmlformats.org/officeDocument/2006/relationships/hyperlink" /><Relationship Target="numbering.xml" Id="docRId15" Type="http://schemas.openxmlformats.org/officeDocument/2006/relationships/numbering" /><Relationship TargetMode="External" Target="https://www.un.org/en/development/desa/publications/world-population-prospects-the-2012-revision.html#:~:text=The%20report%2C%20World%20Population%20Prospects,to%201.8%20billion%20in%202050" Id="docRId5" Type="http://schemas.openxmlformats.org/officeDocument/2006/relationships/hyperlink" /><Relationship TargetMode="External" Target="http://repositorio.ual.es/bitstream/handle/10835/9910/LAZO%20NAVARRO%2C%20MARIA.pdf?sequence=1&amp;isAllowed=y" Id="docRId9" Type="http://schemas.openxmlformats.org/officeDocument/2006/relationships/hyperlink" /><Relationship TargetMode="External" Target="http://orcid.org/0000-0001-5887-8332" Id="docRId0" Type="http://schemas.openxmlformats.org/officeDocument/2006/relationships/hyperlink" /><Relationship TargetMode="External" Target="http://bvscuba.sld.cu/anuario-estadistico-decuba" Id="docRId12" Type="http://schemas.openxmlformats.org/officeDocument/2006/relationships/hyperlink" /><Relationship Target="styles.xml" Id="docRId16" Type="http://schemas.openxmlformats.org/officeDocument/2006/relationships/styles" /><Relationship TargetMode="External" Target="https://revistas.utm.edu.ec/index.php/QhaliKay" Id="docRId4" Type="http://schemas.openxmlformats.org/officeDocument/2006/relationships/hyperlink" /><Relationship TargetMode="External" Target="https://www.pdh.org.gt/documentos/seccion-de-informes/supervision-y-monitoreo/densoria-de-seguridad-alimentaria-y-nutricional/ano-2022-13/informe-a-e-seguimiento-a-la-vii-encuesta-de-salud-materno-infantil-2022-2023-ensmi-a-cargo-delmspas-ine-y-la-secretaria-de-planificacion-y-programacion-de-la-presidencia-marzo-2022.html" Id="docRId8" Type="http://schemas.openxmlformats.org/officeDocument/2006/relationships/hyperlink" /><Relationship TargetMode="External" Target="https://www.siteal.iiep.unesco.org/" Id="docRId13" Type="http://schemas.openxmlformats.org/officeDocument/2006/relationships/hyperlink" /><Relationship TargetMode="External" Target="http://orcid.org/0000-0003-1065-9557Holgu%EDn" Id="docRId3" Type="http://schemas.openxmlformats.org/officeDocument/2006/relationships/hyperlink" /></Relationships>
</file>