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Caracterización del riesgo cardiovascular en hipertensos. Unidad Cerrada del MININT. Noviembre 2023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Noviembre 2024.</w:t>
      </w:r>
    </w:p>
    <w:p>
      <w:pPr>
        <w:tabs>
          <w:tab w:val="left" w:pos="1080" w:leader="none"/>
        </w:tabs>
        <w:spacing w:before="0" w:after="200" w:line="36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Henry Daniel Ávalos Rivas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Nirian Infanzón Lorenzo</w:t>
      </w:r>
      <w:r>
        <w:rPr>
          <w:rFonts w:ascii="Arial" w:hAnsi="Arial" w:cs="Arial" w:eastAsia="Arial"/>
          <w:color w:val="auto"/>
          <w:spacing w:val="0"/>
          <w:position w:val="0"/>
          <w:sz w:val="24"/>
          <w:shd w:fill="auto" w:val="clear"/>
          <w:vertAlign w:val="superscript"/>
        </w:rPr>
        <w:t xml:space="preserve">2  </w:t>
      </w:r>
      <w:r>
        <w:rPr>
          <w:rFonts w:ascii="Arial" w:hAnsi="Arial" w:cs="Arial" w:eastAsia="Arial"/>
          <w:color w:val="auto"/>
          <w:spacing w:val="0"/>
          <w:position w:val="0"/>
          <w:sz w:val="24"/>
          <w:shd w:fill="auto" w:val="clear"/>
        </w:rPr>
        <w:t xml:space="preserve">Daylín López Sánchez</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,Elber Sánchez Serrano</w:t>
      </w:r>
      <w:r>
        <w:rPr>
          <w:rFonts w:ascii="Arial" w:hAnsi="Arial" w:cs="Arial" w:eastAsia="Arial"/>
          <w:color w:val="auto"/>
          <w:spacing w:val="0"/>
          <w:position w:val="0"/>
          <w:sz w:val="24"/>
          <w:shd w:fill="auto" w:val="clear"/>
          <w:vertAlign w:val="superscript"/>
        </w:rPr>
        <w:t xml:space="preserve">4.</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Máster en Atención Primaria de Salud.Profesor auxiliar. Policlínico Universitario “Julio Grave de Peralta”.avalosh420@gmail.com.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http://orcid.org/0000-0001-5887-8332</w:t>
        </w:r>
      </w:hyperlink>
      <w:r>
        <w:rPr>
          <w:rFonts w:ascii="Arial" w:hAnsi="Arial" w:cs="Arial" w:eastAsia="Arial"/>
          <w:color w:val="auto"/>
          <w:spacing w:val="0"/>
          <w:position w:val="0"/>
          <w:sz w:val="24"/>
          <w:shd w:fill="auto" w:val="clear"/>
        </w:rPr>
        <w:t xml:space="preserve">.. Holguín. Cuba.</w:t>
      </w:r>
    </w:p>
    <w:p>
      <w:pPr>
        <w:spacing w:before="0" w:after="16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2.-Máster en Educación Médica. Universidad de Ciencias Médicas.Profesor auxiliar infanzoneliza@gmail.com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http://orcid.org/0000-0002-6288-5831</w:t>
        </w:r>
      </w:hyperlink>
      <w:r>
        <w:rPr>
          <w:rFonts w:ascii="Arial" w:hAnsi="Arial" w:cs="Arial" w:eastAsia="Arial"/>
          <w:color w:val="auto"/>
          <w:spacing w:val="0"/>
          <w:position w:val="0"/>
          <w:sz w:val="24"/>
          <w:shd w:fill="auto" w:val="clear"/>
        </w:rPr>
        <w:t xml:space="preserve">. . Holguín. Cuba.</w:t>
      </w: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3.-Especialista de Segundo Grado en Medicina General Integral.Profesor asistente.  Policlínico Universitario “Julio Grave de Peralta” daylinlopezsanchez@gmail.com </w:t>
      </w:r>
      <w:hyperlink xmlns:r="http://schemas.openxmlformats.org/officeDocument/2006/relationships" r:id="docRId2">
        <w:r>
          <w:rPr>
            <w:rFonts w:ascii="Arial" w:hAnsi="Arial" w:cs="Arial" w:eastAsia="Arial"/>
            <w:color w:val="0000FF"/>
            <w:spacing w:val="0"/>
            <w:position w:val="0"/>
            <w:sz w:val="24"/>
            <w:u w:val="single"/>
            <w:shd w:fill="FFFFFF" w:val="clear"/>
          </w:rPr>
          <w:t xml:space="preserve">http://orcid.org/0000-0003-4151-7527</w:t>
        </w:r>
      </w:hyperlink>
      <w:r>
        <w:rPr>
          <w:rFonts w:ascii="Arial" w:hAnsi="Arial" w:cs="Arial" w:eastAsia="Arial"/>
          <w:color w:val="auto"/>
          <w:spacing w:val="0"/>
          <w:position w:val="0"/>
          <w:sz w:val="24"/>
          <w:shd w:fill="FFFFFF" w:val="clear"/>
        </w:rPr>
        <w:t xml:space="preserve">. Holguín. Cuba.</w:t>
      </w:r>
    </w:p>
    <w:p>
      <w:pPr>
        <w:spacing w:before="0" w:after="240" w:line="360"/>
        <w:ind w:right="49"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4-Msc en Educación Médica.Especialista de segundo grado en Ginecobstetricia. Profesor Auxiliar</w:t>
      </w:r>
      <w:r>
        <w:rPr>
          <w:rFonts w:ascii="Arial" w:hAnsi="Arial" w:cs="Arial" w:eastAsia="Arial"/>
          <w:b/>
          <w:color w:val="000000"/>
          <w:spacing w:val="0"/>
          <w:position w:val="0"/>
          <w:sz w:val="24"/>
          <w:shd w:fill="auto" w:val="clear"/>
        </w:rPr>
        <w:t xml:space="preserve">.</w:t>
      </w:r>
      <w:r>
        <w:rPr>
          <w:rFonts w:ascii="Arial" w:hAnsi="Arial" w:cs="Arial" w:eastAsia="Arial"/>
          <w:color w:val="auto"/>
          <w:spacing w:val="0"/>
          <w:position w:val="0"/>
          <w:sz w:val="24"/>
          <w:shd w:fill="auto" w:val="clear"/>
        </w:rPr>
        <w:t xml:space="preserve">Policlínico Universitario “Julio Grave de </w:t>
      </w:r>
      <w:r>
        <w:rPr>
          <w:rFonts w:ascii="Arial" w:hAnsi="Arial" w:cs="Arial" w:eastAsia="Arial"/>
          <w:b/>
          <w:color w:val="000099"/>
          <w:spacing w:val="0"/>
          <w:position w:val="0"/>
          <w:sz w:val="24"/>
          <w:u w:val="single"/>
          <w:shd w:fill="auto" w:val="clear"/>
        </w:rPr>
        <w:t xml:space="preserve">Peralta”. </w:t>
      </w:r>
      <w:r>
        <w:rPr>
          <w:rFonts w:ascii="Arial" w:hAnsi="Arial" w:cs="Arial" w:eastAsia="Arial"/>
          <w:b/>
          <w:color w:val="000000"/>
          <w:spacing w:val="0"/>
          <w:position w:val="0"/>
          <w:sz w:val="24"/>
          <w:u w:val="single"/>
          <w:shd w:fill="auto" w:val="clear"/>
        </w:rPr>
        <w:t xml:space="preserve">elbersanchez774</w:t>
      </w:r>
      <w:r>
        <w:rPr>
          <w:rFonts w:ascii="Arial" w:hAnsi="Arial" w:cs="Arial" w:eastAsia="Arial"/>
          <w:b/>
          <w:color w:val="000099"/>
          <w:spacing w:val="0"/>
          <w:position w:val="0"/>
          <w:sz w:val="24"/>
          <w:u w:val="single"/>
          <w:shd w:fill="auto" w:val="clear"/>
        </w:rPr>
        <w:t xml:space="preserve">@gmail.com</w:t>
      </w:r>
      <w:r>
        <w:rPr>
          <w:rFonts w:ascii="Arial" w:hAnsi="Arial" w:cs="Arial" w:eastAsia="Arial"/>
          <w:color w:val="auto"/>
          <w:spacing w:val="0"/>
          <w:position w:val="0"/>
          <w:sz w:val="24"/>
          <w:shd w:fill="auto" w:val="clear"/>
        </w:rPr>
        <w:t xml:space="preserve"> </w:t>
      </w:r>
      <w:hyperlink xmlns:r="http://schemas.openxmlformats.org/officeDocument/2006/relationships" r:id="docRId3">
        <w:r>
          <w:rPr>
            <w:rFonts w:ascii="Arial" w:hAnsi="Arial" w:cs="Arial" w:eastAsia="Arial"/>
            <w:b/>
            <w:color w:val="000099"/>
            <w:spacing w:val="0"/>
            <w:position w:val="0"/>
            <w:sz w:val="24"/>
            <w:u w:val="single"/>
            <w:shd w:fill="auto" w:val="clear"/>
          </w:rPr>
          <w:t xml:space="preserve">http://orcid.org/0000-0003-1065-9557Holguín</w:t>
        </w:r>
      </w:hyperlink>
      <w:r>
        <w:rPr>
          <w:rFonts w:ascii="Arial" w:hAnsi="Arial" w:cs="Arial" w:eastAsia="Arial"/>
          <w:color w:val="auto"/>
          <w:spacing w:val="0"/>
          <w:position w:val="0"/>
          <w:sz w:val="24"/>
          <w:shd w:fill="auto" w:val="clear"/>
        </w:rPr>
        <w:t xml:space="preserve"> .Cuba.</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RESUMEN</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Introducción: </w:t>
      </w:r>
      <w:r>
        <w:rPr>
          <w:rFonts w:ascii="Arial" w:hAnsi="Arial" w:cs="Arial" w:eastAsia="Arial"/>
          <w:color w:val="auto"/>
          <w:spacing w:val="0"/>
          <w:position w:val="0"/>
          <w:sz w:val="24"/>
          <w:shd w:fill="auto" w:val="clear"/>
        </w:rPr>
        <w:t xml:space="preserve">Se define como hipertensión arterial como la enfermedad que se produce cuando las cifras de tensión arterial, medidas como promedio en tres tomas realizadas en condiciones apropiadas, con intervalos de tres a siete días entre cada toma, se encuentran por encima de 140 mmHg de tensión arterial sistólica y 90 mmHg de tensión arterial diastólica, con la presencia de riesgo cardiovascular que son todos aquellos factores o enfermedades que pueden agravar la hipertensión y provocar daño cardiovascular. </w:t>
      </w:r>
      <w:r>
        <w:rPr>
          <w:rFonts w:ascii="Arial" w:hAnsi="Arial" w:cs="Arial" w:eastAsia="Arial"/>
          <w:b/>
          <w:color w:val="auto"/>
          <w:spacing w:val="0"/>
          <w:position w:val="0"/>
          <w:sz w:val="24"/>
          <w:shd w:fill="auto" w:val="clear"/>
        </w:rPr>
        <w:t xml:space="preserve">Objetivos: </w:t>
      </w:r>
      <w:r>
        <w:rPr>
          <w:rFonts w:ascii="Arial" w:hAnsi="Arial" w:cs="Arial" w:eastAsia="Arial"/>
          <w:color w:val="auto"/>
          <w:spacing w:val="0"/>
          <w:position w:val="0"/>
          <w:sz w:val="24"/>
          <w:shd w:fill="auto" w:val="clear"/>
        </w:rPr>
        <w:t xml:space="preserve">Caracterizar el riesgo cardiovascular en los pacientes hipertensos de una unidad cerrada del MININT en el período comprendido de noviembre del 2023 a noviembre del 2024. </w:t>
      </w:r>
      <w:r>
        <w:rPr>
          <w:rFonts w:ascii="Arial" w:hAnsi="Arial" w:cs="Arial" w:eastAsia="Arial"/>
          <w:b/>
          <w:color w:val="auto"/>
          <w:spacing w:val="0"/>
          <w:position w:val="0"/>
          <w:sz w:val="24"/>
          <w:shd w:fill="auto" w:val="clear"/>
        </w:rPr>
        <w:t xml:space="preserve">Método: </w:t>
      </w:r>
      <w:r>
        <w:rPr>
          <w:rFonts w:ascii="Arial" w:hAnsi="Arial" w:cs="Arial" w:eastAsia="Arial"/>
          <w:color w:val="auto"/>
          <w:spacing w:val="0"/>
          <w:position w:val="0"/>
          <w:sz w:val="24"/>
          <w:shd w:fill="auto" w:val="clear"/>
        </w:rPr>
        <w:t xml:space="preserve">se realizó un estudio de tipo transversal, el universo quedó constituido por un total de 108 pacientes hipertensos, de los cuales se escogió una muestra de 76, a través de un muestreo probabilístico aleatorio simple. Los métodos empleados: teóricos, empíricos un formulario mediante el cual se recogió la mayor información y estadísticos. </w:t>
      </w:r>
      <w:r>
        <w:rPr>
          <w:rFonts w:ascii="Arial" w:hAnsi="Arial" w:cs="Arial" w:eastAsia="Arial"/>
          <w:b/>
          <w:color w:val="auto"/>
          <w:spacing w:val="0"/>
          <w:position w:val="0"/>
          <w:sz w:val="24"/>
          <w:shd w:fill="auto" w:val="clear"/>
        </w:rPr>
        <w:t xml:space="preserve">Resultados: </w:t>
      </w:r>
      <w:r>
        <w:rPr>
          <w:rFonts w:ascii="Arial" w:hAnsi="Arial" w:cs="Arial" w:eastAsia="Arial"/>
          <w:color w:val="auto"/>
          <w:spacing w:val="0"/>
          <w:position w:val="0"/>
          <w:sz w:val="24"/>
          <w:shd w:fill="auto" w:val="clear"/>
        </w:rPr>
        <w:t xml:space="preserve">Mediante el análisis que se realizó de los datos obtenidos se observó que 40.7% de los hipertensos estudiados presentaron un riesgo cardiovascular moderado y 30.3% alto riesgo cardiovascular donde 30.2% presentó daño en órganos diana.</w:t>
      </w:r>
      <w:r>
        <w:rPr>
          <w:rFonts w:ascii="Arial" w:hAnsi="Arial" w:cs="Arial" w:eastAsia="Arial"/>
          <w:b/>
          <w:color w:val="auto"/>
          <w:spacing w:val="0"/>
          <w:position w:val="0"/>
          <w:sz w:val="24"/>
          <w:shd w:fill="auto" w:val="clear"/>
        </w:rPr>
        <w:t xml:space="preserve"> Conclusiones: </w:t>
      </w:r>
      <w:r>
        <w:rPr>
          <w:rFonts w:ascii="Arial" w:hAnsi="Arial" w:cs="Arial" w:eastAsia="Arial"/>
          <w:color w:val="auto"/>
          <w:spacing w:val="0"/>
          <w:position w:val="0"/>
          <w:sz w:val="24"/>
          <w:shd w:fill="auto" w:val="clear"/>
        </w:rPr>
        <w:t xml:space="preserve">Existió predominio del riesgo cardiovascular moderado a elevado en la población hipertensa con presencia significativa de daño en órganos diana y aumento de complicaciones cardiovasculares.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DeCS: </w:t>
      </w:r>
      <w:r>
        <w:rPr>
          <w:rFonts w:ascii="Arial" w:hAnsi="Arial" w:cs="Arial" w:eastAsia="Arial"/>
          <w:color w:val="auto"/>
          <w:spacing w:val="0"/>
          <w:position w:val="0"/>
          <w:sz w:val="24"/>
          <w:shd w:fill="auto" w:val="clear"/>
        </w:rPr>
        <w:t xml:space="preserve">Hipertensión Arterial, riesgo cardiovascular, estratificación de riesgo.</w:t>
      </w: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Introducción</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hipertensión arterial (HTA) es la enfermedad que se produce cuando las cifras de tensión arterial, medidas como promedio en tres tomas realizadas en condiciones apropiadas, con intervalos de tres a siete días entre cada toma, se encuentran por encima de 140mmHg de tensión arterial sistólica (TAS) y 90 mmHg de tensión arterial diastólica (TAD). Esta definición se aplica a partir de los 18 años de edad.</w:t>
      </w:r>
      <w:r>
        <w:rPr>
          <w:rFonts w:ascii="Arial" w:hAnsi="Arial" w:cs="Arial" w:eastAsia="Arial"/>
          <w:color w:val="auto"/>
          <w:spacing w:val="0"/>
          <w:position w:val="0"/>
          <w:sz w:val="24"/>
          <w:shd w:fill="auto" w:val="clear"/>
          <w:vertAlign w:val="superscript"/>
        </w:rPr>
        <w:t xml:space="preserve">1, 2</w:t>
      </w:r>
      <w:r>
        <w:rPr>
          <w:rFonts w:ascii="Arial" w:hAnsi="Arial" w:cs="Arial" w:eastAsia="Arial"/>
          <w:color w:val="auto"/>
          <w:spacing w:val="0"/>
          <w:position w:val="0"/>
          <w:sz w:val="24"/>
          <w:shd w:fill="auto" w:val="clear"/>
        </w:rPr>
        <w:t xml:space="preserve">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Basado en la evaluación de riesgos y beneficios, un comité de expertos de la OMS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Organizaci</w:t>
      </w:r>
      <w:r>
        <w:rPr>
          <w:rFonts w:ascii="Arial" w:hAnsi="Arial" w:cs="Arial" w:eastAsia="Arial"/>
          <w:color w:val="auto"/>
          <w:spacing w:val="0"/>
          <w:position w:val="0"/>
          <w:sz w:val="24"/>
          <w:shd w:fill="auto" w:val="clear"/>
        </w:rPr>
        <w:t xml:space="preserve">ón Mundial de la Salud-definió, en 1978, como hipertenso a todo individuo con cifras tensionales iguales o superiores a 160 mm/Hg de tensión arterial sistólica y 95 mm/Hg de tensión arterial diastólica.</w:t>
      </w:r>
      <w:r>
        <w:rPr>
          <w:rFonts w:ascii="Arial" w:hAnsi="Arial" w:cs="Arial" w:eastAsia="Arial"/>
          <w:color w:val="auto"/>
          <w:spacing w:val="0"/>
          <w:position w:val="0"/>
          <w:sz w:val="24"/>
          <w:shd w:fill="auto" w:val="clear"/>
          <w:vertAlign w:val="superscript"/>
        </w:rPr>
        <w:t xml:space="preserve">2, 3</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Este criterio permaneció vigente durante diez años, hasta que sobre la base de los datos surgidos tras diez años de seguimiento, el Comité Conjunto para la Detección, Evaluación y Tratamiento de la HTA de Estados Unidos y la OMS en 1988 y 1990, respectivamente, modificaron el criterio de normotensión e hipertensión a partir de los 18 años y consideraron normotenso al individuo con cifras de tensión inferiores a 140 y/o 90 mm/Hg, exceptuándose de esta definición a los hipertensos con Diabetes, embarazadas y los ancianos.</w:t>
      </w:r>
      <w:r>
        <w:rPr>
          <w:rFonts w:ascii="Arial" w:hAnsi="Arial" w:cs="Arial" w:eastAsia="Arial"/>
          <w:color w:val="auto"/>
          <w:spacing w:val="0"/>
          <w:position w:val="0"/>
          <w:sz w:val="24"/>
          <w:shd w:fill="auto" w:val="clear"/>
          <w:vertAlign w:val="superscript"/>
        </w:rPr>
        <w:t xml:space="preserve">4 </w:t>
      </w:r>
      <w:r>
        <w:rPr>
          <w:rFonts w:ascii="Arial" w:hAnsi="Arial" w:cs="Arial" w:eastAsia="Arial"/>
          <w:color w:val="auto"/>
          <w:spacing w:val="0"/>
          <w:position w:val="0"/>
          <w:sz w:val="24"/>
          <w:shd w:fill="auto" w:val="clear"/>
        </w:rPr>
        <w:t xml:space="preserve">Esta enfermedad constituye un problema de salud pública en casi todo el mundo se calcula que millones de personas la padecen, no sólo porque es una causa directa de discapacidad y muerte, sino porque ella constituye el factor de riesgo modificable más importante para la cardiopatía isquémica la cual es la primera causa de muerte en el hemisferio occidental, enfermedades cerebrovasculares, insuficiencia cardíaca congestiva, nefropatía terminal y las enfermedades vasculares periféricas. </w:t>
      </w:r>
      <w:r>
        <w:rPr>
          <w:rFonts w:ascii="Arial" w:hAnsi="Arial" w:cs="Arial" w:eastAsia="Arial"/>
          <w:color w:val="auto"/>
          <w:spacing w:val="0"/>
          <w:position w:val="0"/>
          <w:sz w:val="24"/>
          <w:shd w:fill="auto" w:val="clear"/>
          <w:vertAlign w:val="superscript"/>
        </w:rPr>
        <w:t xml:space="preserve">4,-6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Europa y España, la prevalencia en población adulta oscila entre el 33 y el 43%, y aumenta con la edad de tal forma que en mayores de 65 años supera el 60%. El grado de conocimiento (en torno al 60%) y el control global (en torno al 25%) son bajos. Este último dato se ha relacionado con tasas de cumplimiento de las modificaciones del estilo de vida y de uso de tratamiento farmacológico combinado inferiores al 50%, siendo uno de los principales motivos de consulta médica en atención primaria.</w:t>
      </w:r>
      <w:r>
        <w:rPr>
          <w:rFonts w:ascii="Arial" w:hAnsi="Arial" w:cs="Arial" w:eastAsia="Arial"/>
          <w:color w:val="auto"/>
          <w:spacing w:val="0"/>
          <w:position w:val="0"/>
          <w:sz w:val="24"/>
          <w:shd w:fill="auto" w:val="clear"/>
          <w:vertAlign w:val="superscript"/>
        </w:rPr>
        <w:t xml:space="preserve">7, 8</w:t>
      </w:r>
      <w:r>
        <w:rPr>
          <w:rFonts w:ascii="Arial" w:hAnsi="Arial" w:cs="Arial" w:eastAsia="Arial"/>
          <w:color w:val="auto"/>
          <w:spacing w:val="0"/>
          <w:position w:val="0"/>
          <w:sz w:val="24"/>
          <w:shd w:fill="auto" w:val="clear"/>
        </w:rPr>
        <w:t xml:space="preserve">La prevalencia de esta afección en África es del 15% en la parte occidental, del 25% en la oriental y del 42% al 54% en Sudáfrica constituyendo un problema de salud importante en este continente.</w:t>
      </w:r>
      <w:r>
        <w:rPr>
          <w:rFonts w:ascii="Arial" w:hAnsi="Arial" w:cs="Arial" w:eastAsia="Arial"/>
          <w:color w:val="auto"/>
          <w:spacing w:val="0"/>
          <w:position w:val="0"/>
          <w:sz w:val="24"/>
          <w:shd w:fill="auto" w:val="clear"/>
          <w:vertAlign w:val="superscript"/>
        </w:rPr>
        <w:t xml:space="preserve">10, 11 </w:t>
      </w:r>
      <w:r>
        <w:rPr>
          <w:rFonts w:ascii="Arial" w:hAnsi="Arial" w:cs="Arial" w:eastAsia="Arial"/>
          <w:color w:val="auto"/>
          <w:spacing w:val="0"/>
          <w:position w:val="0"/>
          <w:sz w:val="24"/>
          <w:shd w:fill="auto" w:val="clear"/>
        </w:rPr>
        <w:t xml:space="preserve">En los Estados Unidos oscila entre el 30 y 37,9 % de la población; es un poco más frecuente en el hombre que en la mujer, y los afroestadounidenses tienen una prevalencia e incidencia mayores en comparación con sectores de la población blanca. </w:t>
      </w:r>
      <w:r>
        <w:rPr>
          <w:rFonts w:ascii="Arial" w:hAnsi="Arial" w:cs="Arial" w:eastAsia="Arial"/>
          <w:color w:val="auto"/>
          <w:spacing w:val="0"/>
          <w:position w:val="0"/>
          <w:sz w:val="24"/>
          <w:shd w:fill="auto" w:val="clear"/>
          <w:vertAlign w:val="superscript"/>
        </w:rPr>
        <w:t xml:space="preserve">9, 10</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Según la tercera encuesta Nacional de Factores de riesgo del 2019 el 30,9% de los cubanos mayores de 15 años sufren HTA, lo cual significa que 2.6 millones de personas en el país son hipertensos y esta cifra podría ser superior. La prevalencia  en Cuba es del 30,9% en personas de 15 años o más,  lo que significa que hay 2,6 millones de personas con HTA, ligeramente superior en el área urbana (31,9 %) que en la rural (28,0 %) y sin diferencias significativas en el sexo, con 31,2 % el sexo masculino y 30,6 % el femenino. Hay una prevalencia mayor en las personas de piel negra con un 40,4 % que en las de piel blanca con 30,1 %. </w:t>
      </w:r>
      <w:r>
        <w:rPr>
          <w:rFonts w:ascii="Arial" w:hAnsi="Arial" w:cs="Arial" w:eastAsia="Arial"/>
          <w:color w:val="auto"/>
          <w:spacing w:val="0"/>
          <w:position w:val="0"/>
          <w:sz w:val="24"/>
          <w:shd w:fill="auto" w:val="clear"/>
          <w:vertAlign w:val="superscript"/>
        </w:rPr>
        <w:t xml:space="preserve">10, 12</w:t>
      </w:r>
      <w:r>
        <w:rPr>
          <w:rFonts w:ascii="Arial" w:hAnsi="Arial" w:cs="Arial" w:eastAsia="Arial"/>
          <w:color w:val="auto"/>
          <w:spacing w:val="0"/>
          <w:position w:val="0"/>
          <w:sz w:val="24"/>
          <w:shd w:fill="auto" w:val="clear"/>
        </w:rPr>
        <w:t xml:space="preserve">En Holguín la prevalencia de hipertensos en 2023 fue de 189,0 por cada 1000 habitantes donde predomina el grupo de edad entre 60 y 64 años para ambos sexos, aunque se observa un incremento en la población joven de 15 a 24 años de edad.</w:t>
      </w:r>
      <w:r>
        <w:rPr>
          <w:rFonts w:ascii="Arial" w:hAnsi="Arial" w:cs="Arial" w:eastAsia="Arial"/>
          <w:color w:val="auto"/>
          <w:spacing w:val="0"/>
          <w:position w:val="0"/>
          <w:sz w:val="24"/>
          <w:shd w:fill="auto" w:val="clear"/>
          <w:vertAlign w:val="superscript"/>
        </w:rPr>
        <w:t xml:space="preserve">10</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 Unidad cerrada del MININT donde se realiza esta investigación en el año 2022 existían un total de 108 pacientes con ésta afección representando un 20% del total de la población penal cifra que ha aumentado de manera considerable. El incremento de esta enfermedad en la población se ha intensificado en la medida que aumenta el número de personas con edades avanzadas y también ha aumentado en personas más jóvenes.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Por lo tanto se requiere de un estudio para analizar el comportamiento del riesgo cardiovascular en dicha afección, identificar las causas y factores que pudieran estar provocando un aumento en la prevalencia de la misma no solo a nivel mundial y en nuestro país sino también en la población penal y la relación de estos factores de riesgo cardiovasculares en la evolución de la misma y el aumento de eventos y trastornos clínicos cardiovasculares en esta población donde se hace necesario determinar el comportamiento del riesgo cardiovascular para una vez identificado la estratificación del riesgo incidir de manera positiva en la reducción del riesgo y de complicaciones en un futuro para los pacientes.</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Por lo cual nos planteamos el siguiente </w:t>
      </w:r>
      <w:r>
        <w:rPr>
          <w:rFonts w:ascii="Arial" w:hAnsi="Arial" w:cs="Arial" w:eastAsia="Arial"/>
          <w:b/>
          <w:color w:val="auto"/>
          <w:spacing w:val="0"/>
          <w:position w:val="0"/>
          <w:sz w:val="24"/>
          <w:shd w:fill="auto" w:val="clear"/>
        </w:rPr>
        <w:t xml:space="preserve">problema científico</w:t>
      </w:r>
      <w:r>
        <w:rPr>
          <w:rFonts w:ascii="Arial" w:hAnsi="Arial" w:cs="Arial" w:eastAsia="Arial"/>
          <w:color w:val="auto"/>
          <w:spacing w:val="0"/>
          <w:position w:val="0"/>
          <w:sz w:val="24"/>
          <w:shd w:fill="auto" w:val="clear"/>
        </w:rPr>
        <w:t xml:space="preserve">: ¿Qué características presenta el riesgo cardiovascular en pacientes hipertensos pertenecientes a  una unidad cerrada del MININT? </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OBJETIVO GENERAL</w:t>
      </w:r>
    </w:p>
    <w:p>
      <w:pPr>
        <w:spacing w:before="0" w:after="200" w:line="360"/>
        <w:ind w:right="0" w:left="36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Caracterizar el riesgo cardiovascular en los pacientes hipertensos de una unidad cerrada del MININT en el período comprendido de noviembre del 2023 a noviembre del 2024.</w:t>
      </w:r>
    </w:p>
    <w:p>
      <w:pPr>
        <w:spacing w:before="0" w:after="200" w:line="360"/>
        <w:ind w:right="0" w:left="36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ESPECÍFICOS:</w:t>
      </w:r>
    </w:p>
    <w:p>
      <w:pPr>
        <w:numPr>
          <w:ilvl w:val="0"/>
          <w:numId w:val="12"/>
        </w:numPr>
        <w:tabs>
          <w:tab w:val="left" w:pos="0" w:leader="none"/>
        </w:tabs>
        <w:spacing w:before="0" w:after="20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Identificar el grado de hipertensión más frecuente y el daño a órganos diana en los pacientes hipertensos.</w:t>
      </w:r>
    </w:p>
    <w:p>
      <w:pPr>
        <w:numPr>
          <w:ilvl w:val="0"/>
          <w:numId w:val="12"/>
        </w:numPr>
        <w:tabs>
          <w:tab w:val="left" w:pos="0" w:leader="none"/>
        </w:tabs>
        <w:spacing w:before="0" w:after="20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Realizar la estratificación de riesgo cardiovascular.</w:t>
      </w:r>
    </w:p>
    <w:p>
      <w:pPr>
        <w:spacing w:before="0" w:after="200" w:line="360"/>
        <w:ind w:right="0" w:left="0" w:firstLine="0"/>
        <w:jc w:val="both"/>
        <w:rPr>
          <w:rFonts w:ascii="Arial" w:hAnsi="Arial" w:cs="Arial" w:eastAsia="Arial"/>
          <w:b/>
          <w:color w:val="auto"/>
          <w:spacing w:val="0"/>
          <w:position w:val="0"/>
          <w:sz w:val="24"/>
          <w:shd w:fill="auto" w:val="clear"/>
        </w:rPr>
      </w:pP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DISEÑO METODOLÓGICO</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Contexto y clasificación del estudio: </w:t>
      </w:r>
      <w:r>
        <w:rPr>
          <w:rFonts w:ascii="Arial" w:hAnsi="Arial" w:cs="Arial" w:eastAsia="Arial"/>
          <w:color w:val="auto"/>
          <w:spacing w:val="0"/>
          <w:position w:val="0"/>
          <w:sz w:val="24"/>
          <w:shd w:fill="auto" w:val="clear"/>
        </w:rPr>
        <w:t xml:space="preserve">En una unidad cerrada del MININT de pacientes del sexo masculino mayores de 20 años del municipio Holguín perteneciente al área de salud Julio Grave de Peralta se realizó un estudio de tipo transversal con el objetivo de caracterizar el comportamiento del riesgo cardiovascular en los pacientes hipertensos en el período de noviembre de 2023 a noviembre de 2024.</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Universo y muestra</w:t>
      </w:r>
      <w:r>
        <w:rPr>
          <w:rFonts w:ascii="Arial" w:hAnsi="Arial" w:cs="Arial" w:eastAsia="Arial"/>
          <w:color w:val="auto"/>
          <w:spacing w:val="0"/>
          <w:position w:val="0"/>
          <w:sz w:val="24"/>
          <w:shd w:fill="auto" w:val="clear"/>
        </w:rPr>
        <w:t xml:space="preserve">: El universo del estudio quedó constituido por el total de 108  pacientes hipertensos del sexo masculino mayores de 20 años, de los cuales se escogió una muestra de 76 a través de un muestreo probabilístico aleatorio simple.</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Diseño operacional de las variables:</w:t>
      </w:r>
    </w:p>
    <w:tbl>
      <w:tblPr/>
      <w:tblGrid>
        <w:gridCol w:w="2229"/>
        <w:gridCol w:w="1707"/>
        <w:gridCol w:w="1842"/>
        <w:gridCol w:w="3286"/>
      </w:tblGrid>
      <w:tr>
        <w:trPr>
          <w:trHeight w:val="1" w:hRule="atLeast"/>
          <w:jc w:val="left"/>
        </w:trPr>
        <w:tc>
          <w:tcPr>
            <w:tcW w:w="2229" w:type="dxa"/>
            <w:tcBorders>
              <w:top w:val="single" w:color="000000" w:sz="4"/>
              <w:left w:val="single" w:color="000000" w:sz="4"/>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Variable</w:t>
            </w:r>
          </w:p>
        </w:tc>
        <w:tc>
          <w:tcPr>
            <w:tcW w:w="1707" w:type="dxa"/>
            <w:tcBorders>
              <w:top w:val="single" w:color="000000" w:sz="4"/>
              <w:left w:val="single" w:color="000000" w:sz="4"/>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Clasificación</w:t>
            </w:r>
          </w:p>
        </w:tc>
        <w:tc>
          <w:tcPr>
            <w:tcW w:w="1842" w:type="dxa"/>
            <w:tcBorders>
              <w:top w:val="single" w:color="000000" w:sz="4"/>
              <w:left w:val="single" w:color="000000" w:sz="4"/>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Descripción </w:t>
            </w:r>
          </w:p>
        </w:tc>
        <w:tc>
          <w:tcPr>
            <w:tcW w:w="3286" w:type="dxa"/>
            <w:tcBorders>
              <w:top w:val="single" w:color="000000" w:sz="4"/>
              <w:left w:val="single" w:color="000000" w:sz="4"/>
              <w:bottom w:val="single" w:color="008000" w:sz="6"/>
              <w:right w:val="single" w:color="000000" w:sz="4"/>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Escala</w:t>
            </w:r>
          </w:p>
        </w:tc>
      </w:tr>
      <w:tr>
        <w:trPr>
          <w:trHeight w:val="1" w:hRule="atLeast"/>
          <w:jc w:val="left"/>
        </w:trPr>
        <w:tc>
          <w:tcPr>
            <w:tcW w:w="222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Grado de Hipertensión Arterial según las cifras de tensión arterial</w:t>
            </w:r>
          </w:p>
        </w:tc>
        <w:tc>
          <w:tcPr>
            <w:tcW w:w="170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Cuantitativa continua</w:t>
            </w:r>
          </w:p>
        </w:tc>
        <w:tc>
          <w:tcPr>
            <w:tcW w:w="1842"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Según la clasificación de la HTA según sus cifras en mmHg para determinar severidad y riesgo.</w:t>
            </w:r>
          </w:p>
        </w:tc>
        <w:tc>
          <w:tcPr>
            <w:tcW w:w="32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-Grado I: 140-159 y 90-99 mmHg</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Grado II: 160-179 y 100-109 mmHg</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Grado III 180 y más- 110 mmHg y más.</w:t>
            </w:r>
          </w:p>
          <w:p>
            <w:pPr>
              <w:spacing w:before="0" w:after="200" w:line="360"/>
              <w:ind w:right="0" w:left="0" w:firstLine="0"/>
              <w:jc w:val="both"/>
              <w:rPr>
                <w:color w:val="auto"/>
                <w:spacing w:val="0"/>
                <w:position w:val="0"/>
                <w:shd w:fill="auto" w:val="clear"/>
              </w:rPr>
            </w:pPr>
          </w:p>
        </w:tc>
      </w:tr>
      <w:tr>
        <w:trPr>
          <w:trHeight w:val="1" w:hRule="atLeast"/>
          <w:jc w:val="left"/>
        </w:trPr>
        <w:tc>
          <w:tcPr>
            <w:tcW w:w="222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Presencia de daño en órganos diana</w:t>
            </w:r>
          </w:p>
        </w:tc>
        <w:tc>
          <w:tcPr>
            <w:tcW w:w="170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Cualitativa nominal</w:t>
            </w:r>
          </w:p>
        </w:tc>
        <w:tc>
          <w:tcPr>
            <w:tcW w:w="1842"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Se trata de la presencia de enfermedades concomitantes de tipo cerebrovascular, cardiopatía, enfermedad renal, enfermedad vascular y retinopatía hipertensiva.</w:t>
            </w:r>
          </w:p>
        </w:tc>
        <w:tc>
          <w:tcPr>
            <w:tcW w:w="32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-Presentes(cuando existe en el paciente uno o más trastornos clínicos)</w:t>
            </w:r>
          </w:p>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-No presentes( cuando no existen trastornos clínicos asociados)</w:t>
            </w:r>
          </w:p>
        </w:tc>
      </w:tr>
      <w:tr>
        <w:trPr>
          <w:trHeight w:val="497" w:hRule="auto"/>
          <w:jc w:val="left"/>
        </w:trPr>
        <w:tc>
          <w:tcPr>
            <w:tcW w:w="222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Estratificación de riesgo cardiovascular</w:t>
            </w:r>
          </w:p>
        </w:tc>
        <w:tc>
          <w:tcPr>
            <w:tcW w:w="170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Cualitativa ordinal</w:t>
            </w:r>
          </w:p>
        </w:tc>
        <w:tc>
          <w:tcPr>
            <w:tcW w:w="1842"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Es el grado de vulnerabilidad que presenta el paciente de sufrir algún daño de tipo cardiovascular por la influencia de uno o varios factores de riesgo </w:t>
            </w:r>
          </w:p>
        </w:tc>
        <w:tc>
          <w:tcPr>
            <w:tcW w:w="32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-Riesgo Bajo(hipertenso grado I sin factores de riesgo)</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-Riesgo moderado(hipertenso grado II sin factores de riesgo y Grado I y II con factores de riesgo asociados)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-Riesgo elevado(hipertenso grado III con o sin factores de riesgo o con lesión en órgano diana y diabético en cualquier grado de HTA)</w:t>
            </w:r>
          </w:p>
          <w:p>
            <w:pPr>
              <w:spacing w:before="0" w:after="200" w:line="360"/>
              <w:ind w:right="0" w:left="0" w:firstLine="0"/>
              <w:jc w:val="both"/>
              <w:rPr>
                <w:color w:val="auto"/>
                <w:spacing w:val="0"/>
                <w:position w:val="0"/>
                <w:shd w:fill="auto" w:val="clear"/>
              </w:rPr>
            </w:pPr>
          </w:p>
        </w:tc>
      </w:tr>
    </w:tbl>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Resultados: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Tabla 1: Hipertensión Arterial según grados por cifras de Tensión arterial.</w:t>
      </w:r>
    </w:p>
    <w:tbl>
      <w:tblPr/>
      <w:tblGrid>
        <w:gridCol w:w="2992"/>
        <w:gridCol w:w="2993"/>
        <w:gridCol w:w="2993"/>
      </w:tblGrid>
      <w:tr>
        <w:trPr>
          <w:trHeight w:val="1" w:hRule="atLeast"/>
          <w:jc w:val="left"/>
        </w:trPr>
        <w:tc>
          <w:tcPr>
            <w:tcW w:w="2992"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Grado de HTA</w:t>
            </w:r>
          </w:p>
        </w:tc>
        <w:tc>
          <w:tcPr>
            <w:tcW w:w="2993"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No</w:t>
            </w:r>
          </w:p>
        </w:tc>
        <w:tc>
          <w:tcPr>
            <w:tcW w:w="2993"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Grado I</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41</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54</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Grado II</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28</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36.8</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Grado III</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7</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9.2</w:t>
            </w:r>
          </w:p>
        </w:tc>
      </w:tr>
      <w:tr>
        <w:trPr>
          <w:trHeight w:val="1" w:hRule="atLeast"/>
          <w:jc w:val="left"/>
        </w:trPr>
        <w:tc>
          <w:tcPr>
            <w:tcW w:w="2992"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Total</w:t>
            </w:r>
          </w:p>
        </w:tc>
        <w:tc>
          <w:tcPr>
            <w:tcW w:w="2993"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76</w:t>
            </w:r>
          </w:p>
        </w:tc>
        <w:tc>
          <w:tcPr>
            <w:tcW w:w="2993"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rFonts w:ascii="Calibri" w:hAnsi="Calibri" w:cs="Calibri" w:eastAsia="Calibri"/>
                <w:color w:val="auto"/>
                <w:spacing w:val="0"/>
                <w:position w:val="0"/>
                <w:sz w:val="22"/>
                <w:shd w:fill="auto" w:val="clear"/>
              </w:rPr>
            </w:pPr>
          </w:p>
        </w:tc>
      </w:tr>
    </w:tbl>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Fuente: Historia Clinica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 tabla anterior se muestra que el 54% de los hipertensos presentó una hipertensión grado I, mientras que solo el 9.2% presenta grado III y también es significativo que el 36.8 % presenta hipertensión grado II.</w:t>
      </w:r>
    </w:p>
    <w:p>
      <w:pPr>
        <w:spacing w:before="0" w:after="140" w:line="36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Revueltas Agüero M y colaboradores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además de </w:t>
      </w:r>
      <w:r>
        <w:rPr>
          <w:rFonts w:ascii="Arial" w:hAnsi="Arial" w:cs="Arial" w:eastAsia="Arial"/>
          <w:i/>
          <w:color w:val="auto"/>
          <w:spacing w:val="0"/>
          <w:position w:val="0"/>
          <w:sz w:val="24"/>
          <w:shd w:fill="auto" w:val="clear"/>
        </w:rPr>
        <w:t xml:space="preserve">Pérez Rodríguez L y colaboradores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en</w:t>
      </w:r>
      <w:r>
        <w:rPr>
          <w:rFonts w:ascii="Arial" w:hAnsi="Arial" w:cs="Arial" w:eastAsia="Arial"/>
          <w:color w:val="auto"/>
          <w:spacing w:val="0"/>
          <w:position w:val="0"/>
          <w:sz w:val="24"/>
          <w:shd w:fill="auto" w:val="clear"/>
        </w:rPr>
        <w:t xml:space="preserve"> sus estudio coinciden con que la mayor parte de los hipertensos estudiados fueron clasificados con HTA grado I con en 78%; no coincidiendo con </w:t>
      </w:r>
      <w:r>
        <w:rPr>
          <w:rFonts w:ascii="Arial" w:hAnsi="Arial" w:cs="Arial" w:eastAsia="Arial"/>
          <w:i/>
          <w:color w:val="auto"/>
          <w:spacing w:val="0"/>
          <w:position w:val="0"/>
          <w:sz w:val="24"/>
          <w:shd w:fill="auto" w:val="clear"/>
        </w:rPr>
        <w:t xml:space="preserve">Rivera E y colaboradores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donde expresan que en su estudio predominó la hipertensión grado II.</w:t>
      </w:r>
    </w:p>
    <w:p>
      <w:pPr>
        <w:spacing w:before="0" w:after="14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Los autores consideran que desde el punto de vista de la clasificación de la enfermedad según sus cifras a pesar de que en diferentes guías existen diferencias, el predominio de pacientes según cifras de tensión arterial depende de las edades que se hayan incluido en el estudio ya que generalmente a partir de los 50 años y más en los adultos mayores las cifras de tensión suelen ser mayores por las modificaciones del árbol vascular.</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Tabla 2: Daño en órganos diana en los pacientes Hipertensos. </w:t>
      </w:r>
    </w:p>
    <w:tbl>
      <w:tblPr/>
      <w:tblGrid>
        <w:gridCol w:w="2992"/>
        <w:gridCol w:w="2993"/>
        <w:gridCol w:w="2993"/>
      </w:tblGrid>
      <w:tr>
        <w:trPr>
          <w:trHeight w:val="1" w:hRule="atLeast"/>
          <w:jc w:val="left"/>
        </w:trPr>
        <w:tc>
          <w:tcPr>
            <w:tcW w:w="2992"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Categoría </w:t>
            </w:r>
          </w:p>
        </w:tc>
        <w:tc>
          <w:tcPr>
            <w:tcW w:w="2993"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No</w:t>
            </w:r>
          </w:p>
        </w:tc>
        <w:tc>
          <w:tcPr>
            <w:tcW w:w="2993"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Presentes</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23</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30.2</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No presentes</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53</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69.7</w:t>
            </w:r>
          </w:p>
        </w:tc>
      </w:tr>
      <w:tr>
        <w:trPr>
          <w:trHeight w:val="1" w:hRule="atLeast"/>
          <w:jc w:val="left"/>
        </w:trPr>
        <w:tc>
          <w:tcPr>
            <w:tcW w:w="2992"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Total</w:t>
            </w:r>
          </w:p>
        </w:tc>
        <w:tc>
          <w:tcPr>
            <w:tcW w:w="2993"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100</w:t>
            </w:r>
          </w:p>
        </w:tc>
        <w:tc>
          <w:tcPr>
            <w:tcW w:w="2993"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100</w:t>
            </w:r>
          </w:p>
        </w:tc>
      </w:tr>
    </w:tbl>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Fuente: Historia Clinica, Formulario</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estudio realizado se identificó que en el 69.7% de los pacientes hipertensos no existía daño en órganos diana. Mientras que en un 30.2% si se presentó daño en órganos diana lo cual es una cifra significativa.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coincidiendo con los autores </w:t>
      </w:r>
      <w:r>
        <w:rPr>
          <w:rFonts w:ascii="Arial" w:hAnsi="Arial" w:cs="Arial" w:eastAsia="Arial"/>
          <w:i/>
          <w:color w:val="auto"/>
          <w:spacing w:val="0"/>
          <w:position w:val="0"/>
          <w:sz w:val="24"/>
          <w:shd w:fill="auto" w:val="clear"/>
        </w:rPr>
        <w:t xml:space="preserve">Varona P y colaboradores</w:t>
      </w:r>
      <w:r>
        <w:rPr>
          <w:rFonts w:ascii="Arial" w:hAnsi="Arial" w:cs="Arial" w:eastAsia="Arial"/>
          <w:color w:val="auto"/>
          <w:spacing w:val="0"/>
          <w:position w:val="0"/>
          <w:sz w:val="24"/>
          <w:shd w:fill="auto" w:val="clear"/>
          <w:vertAlign w:val="superscript"/>
        </w:rPr>
        <w:t xml:space="preserve">18</w:t>
      </w:r>
      <w:r>
        <w:rPr>
          <w:rFonts w:ascii="Arial" w:hAnsi="Arial" w:cs="Arial" w:eastAsia="Arial"/>
          <w:i/>
          <w:color w:val="auto"/>
          <w:spacing w:val="0"/>
          <w:position w:val="0"/>
          <w:sz w:val="24"/>
          <w:shd w:fill="auto" w:val="clear"/>
        </w:rPr>
        <w:t xml:space="preserve"> y Gaziano TA</w:t>
      </w:r>
      <w:r>
        <w:rPr>
          <w:rFonts w:ascii="Arial" w:hAnsi="Arial" w:cs="Arial" w:eastAsia="Arial"/>
          <w:color w:val="auto"/>
          <w:spacing w:val="0"/>
          <w:position w:val="0"/>
          <w:sz w:val="24"/>
          <w:shd w:fill="auto" w:val="clear"/>
          <w:vertAlign w:val="superscript"/>
        </w:rPr>
        <w:t xml:space="preserve">19</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donde en sus respectivos estudios expresan el predominio de los daños en órganos diana en los pacientes con hipertensión arterial silente; coincidiendo con </w:t>
      </w:r>
      <w:r>
        <w:rPr>
          <w:rFonts w:ascii="Arial" w:hAnsi="Arial" w:cs="Arial" w:eastAsia="Arial"/>
          <w:i/>
          <w:color w:val="auto"/>
          <w:spacing w:val="0"/>
          <w:position w:val="0"/>
          <w:sz w:val="24"/>
          <w:shd w:fill="auto" w:val="clear"/>
        </w:rPr>
        <w:t xml:space="preserve">Alonso Remedios et al</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donde expresa que en su estudio no hubo relación positiva con la presencia de hipertensos y daño en órganos diana.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Los autores están de acuerdo con que se relaciona la presencia de varios factores de riesgo en la aparición de daño en órgano diana como las cifras de glucemia elevada y mantenida y niveles de colesterol y triglicéridos altos, todo ello a consecuencia del sedentarismo y malos hábitos dietéticos.</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Tabla 3: Riesgo cardiovascular en los pacientes Hipertensos. </w:t>
      </w:r>
    </w:p>
    <w:tbl>
      <w:tblPr/>
      <w:tblGrid>
        <w:gridCol w:w="2992"/>
        <w:gridCol w:w="2993"/>
        <w:gridCol w:w="2993"/>
      </w:tblGrid>
      <w:tr>
        <w:trPr>
          <w:trHeight w:val="1" w:hRule="atLeast"/>
          <w:jc w:val="left"/>
        </w:trPr>
        <w:tc>
          <w:tcPr>
            <w:tcW w:w="2992"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Riesgo Cardiovascular</w:t>
            </w:r>
          </w:p>
        </w:tc>
        <w:tc>
          <w:tcPr>
            <w:tcW w:w="2993"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No</w:t>
            </w:r>
          </w:p>
        </w:tc>
        <w:tc>
          <w:tcPr>
            <w:tcW w:w="2993" w:type="dxa"/>
            <w:tcBorders>
              <w:top w:val="single" w:color="008000" w:sz="12"/>
              <w:left w:val="single" w:color="008000" w:sz="6"/>
              <w:bottom w:val="single" w:color="008000" w:sz="6"/>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Riesgo Bajo</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41</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54</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Moderado</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24</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31.5</w:t>
            </w:r>
          </w:p>
        </w:tc>
      </w:tr>
      <w:tr>
        <w:trPr>
          <w:trHeight w:val="1" w:hRule="atLeast"/>
          <w:jc w:val="left"/>
        </w:trPr>
        <w:tc>
          <w:tcPr>
            <w:tcW w:w="299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Alto</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11</w:t>
            </w:r>
          </w:p>
        </w:tc>
        <w:tc>
          <w:tcPr>
            <w:tcW w:w="299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14.5</w:t>
            </w:r>
          </w:p>
        </w:tc>
      </w:tr>
      <w:tr>
        <w:trPr>
          <w:trHeight w:val="1" w:hRule="atLeast"/>
          <w:jc w:val="left"/>
        </w:trPr>
        <w:tc>
          <w:tcPr>
            <w:tcW w:w="2992"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Total</w:t>
            </w:r>
          </w:p>
        </w:tc>
        <w:tc>
          <w:tcPr>
            <w:tcW w:w="2993"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76</w:t>
            </w:r>
          </w:p>
        </w:tc>
        <w:tc>
          <w:tcPr>
            <w:tcW w:w="2993" w:type="dxa"/>
            <w:tcBorders>
              <w:top w:val="single" w:color="000000" w:sz="0"/>
              <w:left w:val="single" w:color="008000" w:sz="12"/>
              <w:bottom w:val="single" w:color="008000" w:sz="12"/>
              <w:right w:val="single" w:color="000000" w:sz="0"/>
            </w:tcBorders>
            <w:shd w:color="auto" w:fill="auto" w:val="clear"/>
            <w:tcMar>
              <w:left w:w="108" w:type="dxa"/>
              <w:right w:w="108" w:type="dxa"/>
            </w:tcMar>
            <w:vAlign w:val="top"/>
          </w:tcPr>
          <w:p>
            <w:pPr>
              <w:spacing w:before="0" w:after="20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100</w:t>
            </w:r>
          </w:p>
        </w:tc>
      </w:tr>
    </w:tbl>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Fuente: Historia Clinica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la tabla anterior se muestra que en los pacientes estudiados se presentó un 54 % de hipertensos con bajo riesgo cardiovascular, mientras que con riesgo moderado  31.5 % y con riesgo cardiovascular elevado 14.5%.</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coincidiendo con </w:t>
      </w:r>
      <w:r>
        <w:rPr>
          <w:rFonts w:ascii="Arial" w:hAnsi="Arial" w:cs="Arial" w:eastAsia="Arial"/>
          <w:i/>
          <w:color w:val="auto"/>
          <w:spacing w:val="0"/>
          <w:position w:val="0"/>
          <w:sz w:val="24"/>
          <w:shd w:fill="auto" w:val="clear"/>
        </w:rPr>
        <w:t xml:space="preserve">Vega Candelario y colaboradores</w:t>
      </w:r>
      <w:r>
        <w:rPr>
          <w:rFonts w:ascii="Arial" w:hAnsi="Arial" w:cs="Arial" w:eastAsia="Arial"/>
          <w:color w:val="auto"/>
          <w:spacing w:val="0"/>
          <w:position w:val="0"/>
          <w:sz w:val="24"/>
          <w:shd w:fill="auto" w:val="clear"/>
          <w:vertAlign w:val="superscript"/>
        </w:rPr>
        <w:t xml:space="preserve">14</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donde expresa el predominio de riesgo cardiovascular moderado en pacientes hipertensos; coinciden con los resultados antes expuestos </w:t>
      </w:r>
      <w:r>
        <w:rPr>
          <w:rFonts w:ascii="Arial" w:hAnsi="Arial" w:cs="Arial" w:eastAsia="Arial"/>
          <w:i/>
          <w:color w:val="auto"/>
          <w:spacing w:val="0"/>
          <w:position w:val="0"/>
          <w:sz w:val="24"/>
          <w:shd w:fill="auto" w:val="clear"/>
        </w:rPr>
        <w:t xml:space="preserve">Baños Leyva L et</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al</w:t>
      </w:r>
      <w:r>
        <w:rPr>
          <w:rFonts w:ascii="Arial" w:hAnsi="Arial" w:cs="Arial" w:eastAsia="Arial"/>
          <w:color w:val="auto"/>
          <w:spacing w:val="0"/>
          <w:position w:val="0"/>
          <w:sz w:val="24"/>
          <w:shd w:fill="auto" w:val="clear"/>
        </w:rPr>
        <w:t xml:space="preserve"> donde expresa que el 86% de los hipertensos de su estudio presentaron riesgo cardiovascular bajo y </w:t>
      </w:r>
      <w:r>
        <w:rPr>
          <w:rFonts w:ascii="Arial" w:hAnsi="Arial" w:cs="Arial" w:eastAsia="Arial"/>
          <w:i/>
          <w:color w:val="auto"/>
          <w:spacing w:val="0"/>
          <w:position w:val="0"/>
          <w:sz w:val="24"/>
          <w:shd w:fill="auto" w:val="clear"/>
        </w:rPr>
        <w:t xml:space="preserve">Tamayo E y colaboradores</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expresa en su estudio resultados similares.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Los autores de este estudio concuerda con que el predominio en los pacientes estudiados con riesgo cardiovascular bajo está relacionado al no predominio de factores de riesgo cardiovascular como la diabetes mellitus, daño en órganos diana, cifras de tensión arterial muy elevadas entre otros que su presencia elevaría el riesgo cardiovascular en pacientes hipertensos.</w:t>
      </w:r>
    </w:p>
    <w:p>
      <w:pPr>
        <w:keepNext w:val="true"/>
        <w:keepLines w:val="true"/>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CONCLUSIONES </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El grado ma´s frecuente de la hipertensión fue el grado</w:t>
      </w:r>
      <w:r>
        <w:rPr>
          <w:rFonts w:ascii="Arial" w:hAnsi="Arial" w:cs="Arial" w:eastAsia="Arial"/>
          <w:color w:val="auto"/>
          <w:spacing w:val="0"/>
          <w:position w:val="0"/>
          <w:sz w:val="24"/>
          <w:shd w:fill="auto" w:val="clear"/>
        </w:rPr>
        <w:t xml:space="preserve">II. Existió predominio del riesgo cardiovascular moderado a elevado en la población hipertensa con presencia significativa de daño en órganos diana .</w:t>
      </w:r>
    </w:p>
    <w:p>
      <w:pPr>
        <w:spacing w:before="0" w:after="20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REFERENCIAS BIBLIOGRÁFICAS</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1.Gorostidi M, Gijón-Conde T, de la Sierra A, et al. Guía práctica sobre el diagnóstico y tratamiento de la hipertensión arterial en España, 2022. Sociedad Española de Hipertensión - Liga Española para la Lucha contra la Hipertensión Arterial (SEH-LELHA). p. 3-10.</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2.Unger T, Borghi C, Charchar F, et al. International Society of Hypertension Global Hypertension Practice Guidelines, 2020. p. 1336-1346.</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3.Pérez Caballero MD, Valdés González Y, Pérez Perea L, et al. HIPERTENSIÓN ARTERIAL EN EL ADULTO, Guía de actuación para la atención primaria de salud: Colectivo de autores de la Guía cubana de diagnóstico, evaluación y tratamiento de la hipertensión arterial, La Habana cuba 2021. p. 3-24.</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4.Roca Goderich R. Temas de Medicina Interna tomo II vol. 1. 5ta edición. La Habana: Editorial Ciencias Médicas; 2017. p. 325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327.</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5.Álvarez Sintes R. Medicina General Integral tomo IV. 4ta edición. La Habana: Editorial Ciencias Médicas; 2022. p. 1163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1175.</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6.Rodríguez Sánchez V, Quintana Riverón L. Diagnóstico y tratamiento en Medicina Interna. La Habana: Editorial Ciencias Médicas; 2016. p. 79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80.</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7.MSAL. Hipertensión arterial [en internet]. Buenos Aires, Argentina: MSAL; 2016 Marzo [Citado el 29 de mayo de 2023]; 30(2): (Aprox 2 p.).Disponible en: </w:t>
      </w:r>
      <w:hyperlink xmlns:r="http://schemas.openxmlformats.org/officeDocument/2006/relationships" r:id="docRId4">
        <w:r>
          <w:rPr>
            <w:rFonts w:ascii="Arial" w:hAnsi="Arial" w:cs="Arial" w:eastAsia="Arial"/>
            <w:b/>
            <w:color w:val="000099"/>
            <w:spacing w:val="0"/>
            <w:position w:val="0"/>
            <w:sz w:val="24"/>
            <w:u w:val="single"/>
            <w:shd w:fill="auto" w:val="clear"/>
          </w:rPr>
          <w:t xml:space="preserve">http://www.msal.gob.or</w:t>
        </w:r>
      </w:hyperlink>
      <w:r>
        <w:rPr>
          <w:rFonts w:ascii="Arial" w:hAnsi="Arial" w:cs="Arial" w:eastAsia="Arial"/>
          <w:color w:val="auto"/>
          <w:spacing w:val="0"/>
          <w:position w:val="0"/>
          <w:sz w:val="24"/>
          <w:shd w:fill="auto" w:val="clear"/>
        </w:rPr>
        <w:t xml:space="preserve">. </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8.Álvarez Sintes R. Medicina General Integral tomo II vol. 2. 4ta edición. La    Habana: Editorial Ciencias Médicas; 2022. p. 369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375. </w:t>
      </w:r>
    </w:p>
    <w:p>
      <w:pPr>
        <w:spacing w:before="0" w:after="200" w:line="360"/>
        <w:ind w:right="0" w:left="426" w:firstLine="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9.Grau M, Marrugat J. Funciones de Riesgo en la prevención primaria de las enfermedades cardiovasculares. RevEspCardiol. (Internet). 2014 febrero [citado 1 de junio de 2023]; 61(4): (Aprox 16 p.). Disponible en:</w:t>
      </w:r>
      <w:r>
        <w:rPr>
          <w:rFonts w:ascii="Arial" w:hAnsi="Arial" w:cs="Arial" w:eastAsia="Arial"/>
          <w:color w:val="auto"/>
          <w:spacing w:val="0"/>
          <w:position w:val="0"/>
          <w:sz w:val="24"/>
          <w:u w:val="single"/>
          <w:shd w:fill="auto" w:val="clear"/>
        </w:rPr>
        <w:t xml:space="preserve">http://www.siencedirect.com/sciennce/article/pii/S0300893208734092</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10.Anuario Estadístico de Cuba. MINSAP 2021[en internet], [Citado el 27 de abril de 2023]. Disponible en</w:t>
      </w:r>
      <w:r>
        <w:rPr>
          <w:rFonts w:ascii="Arial" w:hAnsi="Arial" w:cs="Arial" w:eastAsia="Arial"/>
          <w:color w:val="auto"/>
          <w:spacing w:val="0"/>
          <w:position w:val="0"/>
          <w:sz w:val="24"/>
          <w:u w:val="single"/>
          <w:shd w:fill="auto" w:val="clear"/>
        </w:rPr>
        <w:t xml:space="preserve">: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http://bvscuba.sld.cu</w:t>
        </w:r>
      </w:hyperlink>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  </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11.Rigol Ricardo O. Obstetricia y Ginecología.4ta edición Ciudad de la Habana: Editorial Ciencias Médicas; 2023. p. 127.</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12.Martín González I, Plasencia Concepción D, González Pérez T. Manual de Dietoterapia. La Habana: Editorial Ciencias Médicas; 2001. p. 39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41</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13.Análisis de la Situación de Salud. Unidad cerrada del MININT. Año 2022.</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Vega Candelario R, Vega Jiménez J, Jiménez Jiménez UM. Caracterización epidemiológica del estilo de vida y los factores de riesgo cardiovascular en hipertensos. CorSalud 2018; 10 (4). 300-309.</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15.Revueltas Agüero M, Molina E, Benítez M, et al. Caracterización de la prevalencia y mortalidad por hipertensión arterial en cuba. Rev Habana Ciencias Médicas. 2021; 20(2). 12-15.</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16.Pérez Rodríguez L, Utrera Días G, Rodríguez Martínez L. caracterización de estilos de vida en pacientes hipertensos. Medisur vol. 20 No 6; Cienfuegos 2022.</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17.Rivera E, Junco JV, Martínez MF, et al. Caracterización clínica-epidemiológica de la hipertensión arterial. Rev Cubana Med Gen Integral. 2019.</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18.Varona P, Armas NP, Suárez R et al. Estimación del riesgo cardiovascular en la población cubana. La Habana. Rev Cubana de Cardiol Cir Cardiovasc; 2020; 21(4) 24-28.</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19.Gaziano TA, Gaziano JM. Epidemiología de las enfermedades cardiovasculares. Principios de Medicina Interna. 19 ed México 2016. p 42-49.</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20.Alonso Remedios A, Acosta Mejías M, Peña Batista AP. Repercusión de factores de riesgo sobre daño a órganos diana en pacientes hipertensos. Rev Cubana Med Gen Integr vol, 30 No 1, Ciudad de la Habana. 2014.</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21.Baños L, León legal ML, Mass Sosa LA. Estimación del riesgo cardiovascular global en hipertensos. Rev Finlay vol13. No 1, Cienfuegos, 2023.</w:t>
      </w:r>
    </w:p>
    <w:p>
      <w:pPr>
        <w:spacing w:before="0" w:after="200" w:line="360"/>
        <w:ind w:right="0" w:left="426"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22.Tamayo E, Sánchez JM, Estévez RA. Evaluación del riesgo cardiovascular mediante la aplicación de la tabla de Framinghan. Rev Cubana Enfermer; 33(1), 2019. 6-9.</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num w:numId="12">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orcid.org/0000-0002-6288-5831" Id="docRId1" Type="http://schemas.openxmlformats.org/officeDocument/2006/relationships/hyperlink" /><Relationship TargetMode="External" Target="http://orcid.org/0000-0003-1065-9557Holgu%EDn" Id="docRId3" Type="http://schemas.openxmlformats.org/officeDocument/2006/relationships/hyperlink" /><Relationship TargetMode="External" Target="http://bvscuba.sld.cu/" Id="docRId5" Type="http://schemas.openxmlformats.org/officeDocument/2006/relationships/hyperlink" /><Relationship Target="styles.xml" Id="docRId7" Type="http://schemas.openxmlformats.org/officeDocument/2006/relationships/styles" /><Relationship TargetMode="External" Target="http://orcid.org/0000-0001-5887-8332" Id="docRId0" Type="http://schemas.openxmlformats.org/officeDocument/2006/relationships/hyperlink" /><Relationship TargetMode="External" Target="http://orcid.org/0000-0003-4151-7527" Id="docRId2" Type="http://schemas.openxmlformats.org/officeDocument/2006/relationships/hyperlink" /><Relationship TargetMode="External" Target="http://www.msal.gob.or/" Id="docRId4" Type="http://schemas.openxmlformats.org/officeDocument/2006/relationships/hyperlink" /><Relationship Target="numbering.xml" Id="docRId6" Type="http://schemas.openxmlformats.org/officeDocument/2006/relationships/numbering" /></Relationships>
</file>